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黑体" w:hAnsi="黑体" w:eastAsia="黑体" w:cs="黑体"/>
          <w:szCs w:val="32"/>
        </w:rPr>
      </w:pPr>
      <w:r>
        <w:rPr>
          <w:rFonts w:hint="eastAsia" w:ascii="黑体" w:hAnsi="黑体" w:eastAsia="黑体" w:cs="黑体"/>
          <w:szCs w:val="32"/>
        </w:rPr>
        <w:t>附件</w:t>
      </w:r>
      <w:r>
        <w:rPr>
          <w:rFonts w:ascii="黑体" w:hAnsi="黑体" w:eastAsia="黑体" w:cs="黑体"/>
          <w:szCs w:val="32"/>
        </w:rPr>
        <w:t>2</w:t>
      </w:r>
      <w:r>
        <w:rPr>
          <w:rFonts w:hint="eastAsia" w:ascii="黑体" w:hAnsi="黑体" w:eastAsia="黑体" w:cs="黑体"/>
          <w:szCs w:val="32"/>
        </w:rPr>
        <w:t>：</w:t>
      </w:r>
    </w:p>
    <w:p>
      <w:pPr>
        <w:spacing w:line="500" w:lineRule="exact"/>
        <w:jc w:val="left"/>
        <w:rPr>
          <w:rFonts w:ascii="方正小标宋简体" w:eastAsia="方正小标宋简体"/>
        </w:rPr>
      </w:pPr>
    </w:p>
    <w:p>
      <w:pPr>
        <w:jc w:val="center"/>
        <w:rPr>
          <w:rFonts w:hAnsi="仿宋" w:eastAsia="方正小标宋简体"/>
          <w:sz w:val="28"/>
          <w:szCs w:val="28"/>
        </w:rPr>
      </w:pPr>
      <w:bookmarkStart w:id="0" w:name="_GoBack"/>
      <w:r>
        <w:rPr>
          <w:rFonts w:hint="eastAsia" w:ascii="方正小标宋简体" w:hAnsi="Arial" w:eastAsia="方正小标宋简体" w:cs="方正小标宋简体"/>
          <w:sz w:val="40"/>
          <w:szCs w:val="40"/>
        </w:rPr>
        <w:t>202</w:t>
      </w:r>
      <w:r>
        <w:rPr>
          <w:rFonts w:ascii="方正小标宋简体" w:hAnsi="Arial" w:eastAsia="方正小标宋简体" w:cs="方正小标宋简体"/>
          <w:sz w:val="40"/>
          <w:szCs w:val="40"/>
        </w:rPr>
        <w:t>2</w:t>
      </w:r>
      <w:r>
        <w:rPr>
          <w:rFonts w:hint="eastAsia" w:ascii="方正小标宋简体" w:hAnsi="Arial" w:eastAsia="方正小标宋简体" w:cs="方正小标宋简体"/>
          <w:sz w:val="40"/>
          <w:szCs w:val="40"/>
        </w:rPr>
        <w:t>年度</w:t>
      </w:r>
      <w:r>
        <w:rPr>
          <w:rFonts w:hint="eastAsia" w:ascii="方正小标宋简体" w:hAnsi="Arial" w:eastAsia="方正小标宋简体" w:cs="方正小标宋简体"/>
          <w:sz w:val="40"/>
          <w:szCs w:val="40"/>
          <w:lang w:eastAsia="zh-CN"/>
        </w:rPr>
        <w:t>管办分离补助</w:t>
      </w:r>
      <w:r>
        <w:rPr>
          <w:rFonts w:hint="eastAsia" w:ascii="方正小标宋简体" w:hAnsi="Arial" w:eastAsia="方正小标宋简体" w:cs="方正小标宋简体"/>
          <w:sz w:val="40"/>
          <w:szCs w:val="40"/>
        </w:rPr>
        <w:t>项目自评结果</w:t>
      </w:r>
      <w:bookmarkEnd w:id="0"/>
    </w:p>
    <w:p>
      <w:pPr>
        <w:spacing w:line="620" w:lineRule="exact"/>
        <w:ind w:firstLine="632" w:firstLineChars="200"/>
        <w:rPr>
          <w:rFonts w:ascii="楷体_GB2312" w:hAnsi="楷体" w:eastAsia="楷体_GB2312" w:cs="楷体_GB2312"/>
          <w:szCs w:val="32"/>
        </w:rPr>
      </w:pPr>
      <w:r>
        <w:rPr>
          <w:rFonts w:hint="eastAsia" w:ascii="黑体" w:hAnsi="黑体" w:eastAsia="黑体" w:cs="黑体"/>
          <w:sz w:val="32"/>
          <w:szCs w:val="32"/>
        </w:rPr>
        <w:t>一、自评结论</w:t>
      </w:r>
    </w:p>
    <w:p>
      <w:pPr>
        <w:numPr>
          <w:ilvl w:val="0"/>
          <w:numId w:val="0"/>
        </w:numPr>
        <w:spacing w:line="560" w:lineRule="exact"/>
        <w:ind w:firstLine="632" w:firstLineChars="200"/>
        <w:rPr>
          <w:rFonts w:hint="eastAsia" w:ascii="黑体" w:hAnsi="黑体" w:eastAsia="黑体" w:cs="楷体_GB2312"/>
          <w:szCs w:val="32"/>
        </w:rPr>
      </w:pPr>
      <w:r>
        <w:rPr>
          <w:rFonts w:hint="eastAsia" w:ascii="方正楷体_GB2312" w:hAnsi="方正楷体_GB2312" w:eastAsia="方正楷体_GB2312" w:cs="方正楷体_GB2312"/>
          <w:b/>
          <w:bCs/>
          <w:szCs w:val="32"/>
          <w:lang w:eastAsia="zh-CN"/>
        </w:rPr>
        <w:t>（</w:t>
      </w:r>
      <w:r>
        <w:rPr>
          <w:rFonts w:hint="eastAsia" w:ascii="方正楷体_GB2312" w:hAnsi="方正楷体_GB2312" w:eastAsia="方正楷体_GB2312" w:cs="方正楷体_GB2312"/>
          <w:b/>
          <w:bCs/>
          <w:szCs w:val="32"/>
          <w:lang w:val="en-US" w:eastAsia="zh-CN"/>
        </w:rPr>
        <w:t>一</w:t>
      </w:r>
      <w:r>
        <w:rPr>
          <w:rFonts w:hint="eastAsia" w:ascii="方正楷体_GB2312" w:hAnsi="方正楷体_GB2312" w:eastAsia="方正楷体_GB2312" w:cs="方正楷体_GB2312"/>
          <w:b/>
          <w:bCs/>
          <w:szCs w:val="32"/>
          <w:lang w:eastAsia="zh-CN"/>
        </w:rPr>
        <w:t>）</w:t>
      </w:r>
      <w:r>
        <w:rPr>
          <w:rFonts w:hint="eastAsia" w:ascii="方正楷体_GB2312" w:hAnsi="方正楷体_GB2312" w:eastAsia="方正楷体_GB2312" w:cs="方正楷体_GB2312"/>
          <w:b/>
          <w:bCs/>
          <w:szCs w:val="32"/>
        </w:rPr>
        <w:t>基本情况</w:t>
      </w:r>
    </w:p>
    <w:p>
      <w:pPr>
        <w:topLinePunct/>
        <w:spacing w:line="560" w:lineRule="exact"/>
        <w:ind w:firstLine="632" w:firstLineChars="200"/>
        <w:rPr>
          <w:rFonts w:hint="default" w:ascii="宋体" w:hAnsi="宋体" w:eastAsia="宋体"/>
          <w:color w:val="000000"/>
          <w:lang w:val="en-US" w:eastAsia="zh-CN"/>
        </w:rPr>
      </w:pPr>
      <w:r>
        <w:rPr>
          <w:rFonts w:hint="eastAsia" w:hAnsi="仿宋" w:cs="仿宋_GB2312"/>
          <w:szCs w:val="32"/>
          <w:lang w:val="en-US" w:eastAsia="zh-CN"/>
        </w:rPr>
        <w:t>1、中国乒乓球队黄石训练基地</w:t>
      </w:r>
      <w:r>
        <w:rPr>
          <w:rFonts w:hint="default" w:hAnsi="仿宋" w:cs="仿宋_GB2312"/>
          <w:szCs w:val="32"/>
          <w:lang w:val="en-US" w:eastAsia="zh-CN"/>
        </w:rPr>
        <w:t>承担了</w:t>
      </w:r>
      <w:r>
        <w:rPr>
          <w:rFonts w:hint="eastAsia" w:hAnsi="仿宋" w:cs="仿宋_GB2312"/>
          <w:szCs w:val="32"/>
          <w:lang w:val="en-US" w:eastAsia="zh-CN"/>
        </w:rPr>
        <w:t>中国乒乓球队集训、承办国内外有关乒乓球项目的培训任务；组织和承办国内外乒乓球、羽毛球和皮划艇项目的比赛和活动，并代表黄石进行对外交流与合作；指导和推动黄石地区乒乓球、羽毛球和皮划艇等项目的普及、提高和发展；培养和输送乒乓球、羽毛球和皮划艇等项目高水平后备人才；积极实施《全民健身计划纲要》，利用技术优势指导开展全民健身运动，承办社会公益性活动；黄石国乒基地是湖北省爱国主义教育基地，承担着免费向社会开放、开展爱国主义教育活动</w:t>
      </w:r>
      <w:r>
        <w:rPr>
          <w:rFonts w:hint="default" w:hAnsi="仿宋" w:cs="仿宋_GB2312"/>
          <w:szCs w:val="32"/>
          <w:lang w:val="en-US" w:eastAsia="zh-CN"/>
        </w:rPr>
        <w:t>等职能。体育系统完成管办分离后，基地的人员工资支出、绩效、社会保障等除财政包干经费外，存在缺口，需要管办分离经费予</w:t>
      </w:r>
      <w:r>
        <w:rPr>
          <w:rFonts w:hint="eastAsia" w:hAnsi="仿宋" w:cs="仿宋_GB2312"/>
          <w:szCs w:val="32"/>
          <w:lang w:val="en-US" w:eastAsia="zh-CN"/>
        </w:rPr>
        <w:t>保障。</w:t>
      </w:r>
    </w:p>
    <w:p>
      <w:pPr>
        <w:topLinePunct/>
        <w:spacing w:line="560" w:lineRule="exact"/>
        <w:ind w:firstLine="632" w:firstLineChars="200"/>
        <w:rPr>
          <w:rFonts w:hint="default" w:hAnsi="仿宋" w:eastAsia="仿宋" w:cs="仿宋_GB2312"/>
          <w:szCs w:val="32"/>
          <w:lang w:val="en-US" w:eastAsia="zh-CN"/>
        </w:rPr>
      </w:pPr>
      <w:r>
        <w:rPr>
          <w:rFonts w:hint="eastAsia" w:hAnsi="仿宋" w:cs="仿宋_GB2312"/>
          <w:szCs w:val="32"/>
          <w:lang w:val="en-US" w:eastAsia="zh-CN"/>
        </w:rPr>
        <w:t>2、项目资金来源及安排落实、总投入情况：公共预算财政拨款资金183万元，实际支出金额183万元，执行率100%。</w:t>
      </w:r>
    </w:p>
    <w:p>
      <w:pPr>
        <w:numPr>
          <w:ilvl w:val="0"/>
          <w:numId w:val="0"/>
        </w:numPr>
        <w:spacing w:line="560" w:lineRule="exact"/>
        <w:ind w:firstLine="632" w:firstLineChars="200"/>
        <w:rPr>
          <w:rFonts w:hint="eastAsia" w:ascii="方正楷体_GB2312" w:hAnsi="方正楷体_GB2312" w:eastAsia="方正楷体_GB2312" w:cs="方正楷体_GB2312"/>
          <w:b/>
          <w:bCs/>
          <w:szCs w:val="32"/>
          <w:lang w:eastAsia="zh-CN"/>
        </w:rPr>
      </w:pPr>
      <w:r>
        <w:rPr>
          <w:rFonts w:hint="eastAsia" w:ascii="方正楷体_GB2312" w:hAnsi="方正楷体_GB2312" w:eastAsia="方正楷体_GB2312" w:cs="方正楷体_GB2312"/>
          <w:b/>
          <w:bCs/>
          <w:szCs w:val="32"/>
          <w:lang w:eastAsia="zh-CN"/>
        </w:rPr>
        <w:t>（二）部门自评工作开展情况</w:t>
      </w:r>
    </w:p>
    <w:p>
      <w:pPr>
        <w:topLinePunct/>
        <w:spacing w:line="560" w:lineRule="exact"/>
        <w:ind w:firstLine="632" w:firstLineChars="200"/>
        <w:rPr>
          <w:rFonts w:hAnsi="仿宋" w:cs="仿宋_GB2312"/>
          <w:szCs w:val="32"/>
        </w:rPr>
      </w:pPr>
      <w:r>
        <w:rPr>
          <w:rFonts w:hint="eastAsia" w:hAnsi="仿宋" w:cs="仿宋_GB2312"/>
          <w:szCs w:val="32"/>
          <w:lang w:val="en-US" w:eastAsia="zh-CN"/>
        </w:rPr>
        <w:t>2022年基地3次接待国家队集训、2次接待香港队集训、2次接待省水上队伍来黄集训，得到中国乒协、香港乒乓总会、省水上中心的高度肯定；组队参加第十届省运会乒乓、羽毛、水上的比赛，共获得14块金牌的好成绩；组队参加8项次省级以上赛事，通过省级乒乓、羽毛后备人才基地考核；组队参加乒超俱乐部来赛获得男团季军的好成绩；举办全国乒乓球锦标赛等，开展一系列丰富多彩、影响深远的活动</w:t>
      </w:r>
      <w:r>
        <w:rPr>
          <w:rFonts w:hint="eastAsia" w:hAnsi="仿宋" w:cs="仿宋_GB2312"/>
          <w:szCs w:val="32"/>
        </w:rPr>
        <w:t>。</w:t>
      </w:r>
    </w:p>
    <w:p>
      <w:pPr>
        <w:numPr>
          <w:ilvl w:val="0"/>
          <w:numId w:val="0"/>
        </w:numPr>
        <w:spacing w:line="560" w:lineRule="exact"/>
        <w:ind w:firstLine="632" w:firstLineChars="200"/>
        <w:rPr>
          <w:rFonts w:hint="eastAsia" w:ascii="方正楷体_GB2312" w:hAnsi="方正楷体_GB2312" w:eastAsia="方正楷体_GB2312" w:cs="方正楷体_GB2312"/>
          <w:b/>
          <w:bCs/>
          <w:szCs w:val="32"/>
          <w:lang w:eastAsia="zh-CN"/>
        </w:rPr>
      </w:pPr>
      <w:r>
        <w:rPr>
          <w:rFonts w:hint="eastAsia" w:ascii="方正楷体_GB2312" w:hAnsi="方正楷体_GB2312" w:eastAsia="方正楷体_GB2312" w:cs="方正楷体_GB2312"/>
          <w:b/>
          <w:bCs/>
          <w:szCs w:val="32"/>
          <w:lang w:eastAsia="zh-CN"/>
        </w:rPr>
        <w:t>（三）绩效目标完成情况</w:t>
      </w:r>
    </w:p>
    <w:p>
      <w:pPr>
        <w:topLinePunct/>
        <w:spacing w:line="560" w:lineRule="exact"/>
        <w:ind w:firstLine="632" w:firstLineChars="200"/>
        <w:rPr>
          <w:rFonts w:hint="eastAsia" w:hAnsi="仿宋" w:cs="仿宋_GB2312"/>
          <w:szCs w:val="32"/>
        </w:rPr>
      </w:pPr>
      <w:r>
        <w:rPr>
          <w:rFonts w:hAnsi="仿宋" w:cs="仿宋_GB2312"/>
          <w:szCs w:val="32"/>
        </w:rPr>
        <w:t>1.</w:t>
      </w:r>
      <w:r>
        <w:rPr>
          <w:rFonts w:hint="eastAsia" w:hAnsi="仿宋" w:cs="仿宋_GB2312"/>
          <w:szCs w:val="32"/>
        </w:rPr>
        <w:t>资金投入情况分析</w:t>
      </w:r>
    </w:p>
    <w:p>
      <w:pPr>
        <w:topLinePunct/>
        <w:spacing w:line="560" w:lineRule="exact"/>
        <w:ind w:firstLine="632" w:firstLineChars="200"/>
        <w:rPr>
          <w:rFonts w:hint="default" w:hAnsi="仿宋" w:eastAsia="仿宋" w:cs="仿宋_GB2312"/>
          <w:szCs w:val="32"/>
          <w:lang w:val="en-US" w:eastAsia="zh-CN"/>
        </w:rPr>
      </w:pPr>
      <w:r>
        <w:rPr>
          <w:rFonts w:hint="eastAsia" w:hAnsi="仿宋" w:cs="仿宋_GB2312"/>
          <w:szCs w:val="32"/>
          <w:lang w:val="en-US" w:eastAsia="zh-CN"/>
        </w:rPr>
        <w:t>项目资金来源及安排落实、总投入情况：公开预算财政拨款资金183万元，实际支出金额183万元，执行率100%。</w:t>
      </w:r>
    </w:p>
    <w:p>
      <w:pPr>
        <w:numPr>
          <w:ilvl w:val="0"/>
          <w:numId w:val="0"/>
        </w:numPr>
        <w:topLinePunct/>
        <w:spacing w:line="560" w:lineRule="exact"/>
        <w:ind w:firstLine="632" w:firstLineChars="200"/>
        <w:rPr>
          <w:rFonts w:hint="eastAsia" w:hAnsi="仿宋" w:cs="仿宋_GB2312"/>
          <w:szCs w:val="32"/>
        </w:rPr>
      </w:pPr>
      <w:r>
        <w:rPr>
          <w:rFonts w:hint="eastAsia" w:hAnsi="仿宋" w:cs="仿宋_GB2312"/>
          <w:szCs w:val="32"/>
          <w:lang w:val="en-US" w:eastAsia="zh-CN"/>
        </w:rPr>
        <w:t>2.</w:t>
      </w:r>
      <w:r>
        <w:rPr>
          <w:rFonts w:hint="eastAsia" w:hAnsi="仿宋" w:cs="仿宋_GB2312"/>
          <w:szCs w:val="32"/>
        </w:rPr>
        <w:t>绩效目标完成情况分析</w:t>
      </w:r>
    </w:p>
    <w:p>
      <w:pPr>
        <w:topLinePunct/>
        <w:spacing w:line="560" w:lineRule="exact"/>
        <w:ind w:firstLine="632" w:firstLineChars="200"/>
        <w:rPr>
          <w:rFonts w:hint="default" w:hAnsi="仿宋" w:cs="仿宋_GB2312"/>
          <w:szCs w:val="32"/>
          <w:lang w:val="en-US" w:eastAsia="zh-CN"/>
        </w:rPr>
      </w:pPr>
      <w:r>
        <w:rPr>
          <w:rFonts w:hint="eastAsia" w:hAnsi="仿宋" w:cs="仿宋_GB2312"/>
          <w:szCs w:val="32"/>
        </w:rPr>
        <w:t>产出指标</w:t>
      </w:r>
      <w:r>
        <w:rPr>
          <w:rFonts w:hint="eastAsia" w:hAnsi="仿宋" w:cs="仿宋_GB2312"/>
          <w:szCs w:val="32"/>
          <w:lang w:eastAsia="zh-CN"/>
        </w:rPr>
        <w:t>、</w:t>
      </w:r>
      <w:r>
        <w:rPr>
          <w:rFonts w:hint="eastAsia" w:hAnsi="仿宋" w:cs="仿宋_GB2312"/>
          <w:szCs w:val="32"/>
        </w:rPr>
        <w:t>效益指标</w:t>
      </w:r>
      <w:r>
        <w:rPr>
          <w:rFonts w:hint="eastAsia" w:hAnsi="仿宋" w:cs="仿宋_GB2312"/>
          <w:szCs w:val="32"/>
          <w:lang w:eastAsia="zh-CN"/>
        </w:rPr>
        <w:t>、</w:t>
      </w:r>
      <w:r>
        <w:rPr>
          <w:rFonts w:hint="eastAsia" w:hAnsi="仿宋" w:cs="仿宋_GB2312"/>
          <w:szCs w:val="32"/>
          <w:lang w:val="en-US" w:eastAsia="zh-CN"/>
        </w:rPr>
        <w:t>社会指标、满意度指标全部达标或超额完成。</w:t>
      </w:r>
    </w:p>
    <w:p>
      <w:pPr>
        <w:numPr>
          <w:ilvl w:val="0"/>
          <w:numId w:val="0"/>
        </w:numPr>
        <w:topLinePunct/>
        <w:spacing w:line="560" w:lineRule="exact"/>
        <w:ind w:firstLine="632" w:firstLineChars="200"/>
        <w:rPr>
          <w:rFonts w:hint="eastAsia" w:hAnsi="仿宋" w:cs="仿宋_GB2312"/>
          <w:szCs w:val="32"/>
          <w:lang w:val="en-US" w:eastAsia="zh-CN"/>
        </w:rPr>
      </w:pPr>
      <w:r>
        <w:rPr>
          <w:rFonts w:hint="eastAsia" w:hAnsi="仿宋" w:cs="仿宋_GB2312"/>
          <w:szCs w:val="32"/>
          <w:lang w:val="en-US" w:eastAsia="zh-CN"/>
        </w:rPr>
        <w:t>3.未完成的绩效目标</w:t>
      </w:r>
    </w:p>
    <w:p>
      <w:pPr>
        <w:numPr>
          <w:ilvl w:val="0"/>
          <w:numId w:val="0"/>
        </w:numPr>
        <w:topLinePunct/>
        <w:spacing w:line="560" w:lineRule="exact"/>
        <w:rPr>
          <w:rFonts w:hint="default" w:hAnsi="仿宋" w:cs="仿宋_GB2312"/>
          <w:szCs w:val="32"/>
          <w:lang w:val="en-US" w:eastAsia="zh-CN"/>
        </w:rPr>
      </w:pPr>
      <w:r>
        <w:rPr>
          <w:rFonts w:hint="eastAsia" w:hAnsi="仿宋" w:cs="仿宋_GB2312"/>
          <w:szCs w:val="32"/>
          <w:lang w:val="en-US" w:eastAsia="zh-CN"/>
        </w:rPr>
        <w:t xml:space="preserve">    无</w:t>
      </w:r>
    </w:p>
    <w:p>
      <w:pPr>
        <w:numPr>
          <w:ilvl w:val="0"/>
          <w:numId w:val="0"/>
        </w:numPr>
        <w:spacing w:line="560" w:lineRule="exact"/>
        <w:ind w:firstLine="632" w:firstLineChars="200"/>
        <w:rPr>
          <w:rFonts w:hint="eastAsia" w:ascii="方正楷体_GB2312" w:hAnsi="方正楷体_GB2312" w:eastAsia="方正楷体_GB2312" w:cs="方正楷体_GB2312"/>
          <w:b/>
          <w:bCs/>
          <w:szCs w:val="32"/>
          <w:lang w:eastAsia="zh-CN"/>
        </w:rPr>
      </w:pPr>
      <w:r>
        <w:rPr>
          <w:rFonts w:hint="eastAsia" w:ascii="方正楷体_GB2312" w:hAnsi="方正楷体_GB2312" w:eastAsia="方正楷体_GB2312" w:cs="方正楷体_GB2312"/>
          <w:b/>
          <w:bCs/>
          <w:szCs w:val="32"/>
          <w:lang w:eastAsia="zh-CN"/>
        </w:rPr>
        <w:t>（四）存在的问题和原因</w:t>
      </w:r>
    </w:p>
    <w:p>
      <w:pPr>
        <w:topLinePunct/>
        <w:spacing w:line="560" w:lineRule="exact"/>
        <w:ind w:firstLine="632" w:firstLineChars="200"/>
        <w:rPr>
          <w:rFonts w:hint="default" w:hAnsi="仿宋" w:cs="仿宋_GB2312"/>
          <w:szCs w:val="32"/>
          <w:lang w:val="en-US" w:eastAsia="zh-CN"/>
        </w:rPr>
      </w:pPr>
      <w:r>
        <w:rPr>
          <w:rFonts w:hint="eastAsia" w:hAnsi="仿宋" w:cs="仿宋_GB2312"/>
          <w:szCs w:val="32"/>
          <w:lang w:val="en-US" w:eastAsia="zh-CN"/>
        </w:rPr>
        <w:t>还需要进一步完善项目绩效目标及绩效指标，与时俱进考核思路、考核指标设定、管理方法等，不断促进考核目标任务的设置、评估更加科学化、客观化、系统化。</w:t>
      </w:r>
    </w:p>
    <w:p>
      <w:pPr>
        <w:numPr>
          <w:ilvl w:val="0"/>
          <w:numId w:val="0"/>
        </w:numPr>
        <w:spacing w:line="560" w:lineRule="exact"/>
        <w:ind w:firstLine="632" w:firstLineChars="200"/>
        <w:rPr>
          <w:rFonts w:hint="eastAsia" w:ascii="方正楷体_GB2312" w:hAnsi="方正楷体_GB2312" w:eastAsia="方正楷体_GB2312" w:cs="方正楷体_GB2312"/>
          <w:b/>
          <w:bCs/>
          <w:szCs w:val="32"/>
          <w:lang w:eastAsia="zh-CN"/>
        </w:rPr>
      </w:pPr>
      <w:r>
        <w:rPr>
          <w:rFonts w:hint="eastAsia" w:ascii="方正楷体_GB2312" w:hAnsi="方正楷体_GB2312" w:eastAsia="方正楷体_GB2312" w:cs="方正楷体_GB2312"/>
          <w:b/>
          <w:bCs/>
          <w:szCs w:val="32"/>
          <w:lang w:eastAsia="zh-CN"/>
        </w:rPr>
        <w:t>（五）下一步拟改进措施</w:t>
      </w:r>
    </w:p>
    <w:p>
      <w:pPr>
        <w:spacing w:line="560" w:lineRule="exact"/>
        <w:ind w:firstLine="632" w:firstLineChars="200"/>
        <w:rPr>
          <w:rFonts w:hint="eastAsia" w:ascii="仿宋_GB2312" w:eastAsia="仿宋_GB2312" w:cs="仿宋_GB2312"/>
          <w:szCs w:val="32"/>
          <w:lang w:val="en-US" w:eastAsia="zh-CN"/>
        </w:rPr>
      </w:pPr>
      <w:r>
        <w:rPr>
          <w:rFonts w:hint="eastAsia" w:ascii="仿宋_GB2312" w:eastAsia="仿宋_GB2312" w:cs="仿宋_GB2312"/>
          <w:szCs w:val="32"/>
          <w:lang w:val="en-US" w:eastAsia="zh-CN"/>
        </w:rPr>
        <w:t>一是强化意识。相关科室和工作人员认真学习绩效评价相关知识，正确把握目标任务和考核方法，做到在思想上高度重视、在工作中高度负责的作风。</w:t>
      </w:r>
    </w:p>
    <w:p>
      <w:pPr>
        <w:spacing w:line="560" w:lineRule="exact"/>
        <w:ind w:firstLine="632" w:firstLineChars="200"/>
        <w:rPr>
          <w:rFonts w:hint="eastAsia" w:ascii="仿宋_GB2312" w:eastAsia="仿宋_GB2312" w:cs="仿宋_GB2312"/>
          <w:szCs w:val="32"/>
          <w:lang w:val="en-US" w:eastAsia="zh-CN"/>
        </w:rPr>
      </w:pPr>
      <w:r>
        <w:rPr>
          <w:rFonts w:hint="eastAsia" w:ascii="仿宋_GB2312" w:eastAsia="仿宋_GB2312" w:cs="仿宋_GB2312"/>
          <w:szCs w:val="32"/>
          <w:lang w:val="en-US" w:eastAsia="zh-CN"/>
        </w:rPr>
        <w:t>二是加强科学设置。针对绩效指标的设置，加大对定量指标的设置比例，不断修改完善项目评价体系，加强动态监督管理和评价，提高绩效评价的工作质量。</w:t>
      </w:r>
    </w:p>
    <w:p>
      <w:pPr>
        <w:spacing w:line="620" w:lineRule="exact"/>
        <w:ind w:firstLine="632" w:firstLineChars="200"/>
        <w:rPr>
          <w:rFonts w:ascii="黑体" w:hAnsi="黑体" w:eastAsia="黑体"/>
          <w:sz w:val="32"/>
          <w:szCs w:val="32"/>
        </w:rPr>
      </w:pPr>
      <w:r>
        <w:rPr>
          <w:rFonts w:hint="eastAsia" w:ascii="黑体" w:hAnsi="黑体" w:eastAsia="黑体" w:cs="黑体"/>
          <w:sz w:val="32"/>
          <w:szCs w:val="32"/>
        </w:rPr>
        <w:t>二、佐证材料</w:t>
      </w:r>
    </w:p>
    <w:p>
      <w:pPr>
        <w:numPr>
          <w:ilvl w:val="0"/>
          <w:numId w:val="0"/>
        </w:numPr>
        <w:spacing w:line="560" w:lineRule="exact"/>
        <w:ind w:firstLine="316" w:firstLineChars="100"/>
        <w:rPr>
          <w:rFonts w:hint="eastAsia" w:ascii="方正楷体_GB2312" w:hAnsi="方正楷体_GB2312" w:eastAsia="方正楷体_GB2312" w:cs="方正楷体_GB2312"/>
          <w:b/>
          <w:bCs/>
          <w:szCs w:val="32"/>
          <w:lang w:eastAsia="zh-CN"/>
        </w:rPr>
      </w:pPr>
      <w:r>
        <w:rPr>
          <w:rFonts w:hint="eastAsia" w:ascii="方正楷体_GB2312" w:hAnsi="方正楷体_GB2312" w:eastAsia="方正楷体_GB2312" w:cs="方正楷体_GB2312"/>
          <w:b/>
          <w:bCs/>
          <w:szCs w:val="32"/>
          <w:lang w:eastAsia="zh-CN"/>
        </w:rPr>
        <w:t>（一）基本情况</w:t>
      </w:r>
    </w:p>
    <w:p>
      <w:pPr>
        <w:spacing w:line="620" w:lineRule="exact"/>
        <w:ind w:firstLine="632" w:firstLineChars="200"/>
        <w:rPr>
          <w:rFonts w:ascii="黑体" w:hAnsi="黑体" w:eastAsia="黑体"/>
          <w:sz w:val="32"/>
          <w:szCs w:val="32"/>
        </w:rPr>
      </w:pPr>
      <w:r>
        <w:rPr>
          <w:rFonts w:ascii="仿宋_GB2312" w:eastAsia="仿宋_GB2312" w:cs="仿宋_GB2312"/>
          <w:sz w:val="32"/>
          <w:szCs w:val="32"/>
        </w:rPr>
        <w:t>1.</w:t>
      </w:r>
      <w:r>
        <w:rPr>
          <w:rFonts w:hint="eastAsia" w:ascii="仿宋_GB2312" w:eastAsia="仿宋_GB2312" w:cs="仿宋_GB2312"/>
          <w:sz w:val="32"/>
          <w:szCs w:val="32"/>
        </w:rPr>
        <w:t>简要概述项目立项目的和年度绩效目标。</w:t>
      </w:r>
    </w:p>
    <w:p>
      <w:pPr>
        <w:spacing w:line="620" w:lineRule="exact"/>
        <w:ind w:firstLine="632"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项目立项目的</w:t>
      </w:r>
      <w:r>
        <w:rPr>
          <w:rFonts w:hint="eastAsia" w:ascii="仿宋_GB2312" w:eastAsia="仿宋_GB2312" w:cs="仿宋_GB2312"/>
          <w:sz w:val="32"/>
          <w:szCs w:val="32"/>
          <w:lang w:eastAsia="zh-CN"/>
        </w:rPr>
        <w:t>：坚持以习近平新时代中国特色社会主义思想和习近平总书记关于体育的重要论述为指导，紧紧围绕体育强市建设、“乒乓名城”打造的奋斗目标，</w:t>
      </w:r>
      <w:r>
        <w:rPr>
          <w:rFonts w:hint="eastAsia" w:ascii="仿宋_GB2312" w:eastAsia="仿宋_GB2312" w:cs="仿宋_GB2312"/>
          <w:sz w:val="32"/>
          <w:szCs w:val="32"/>
          <w:lang w:val="en-US" w:eastAsia="zh-CN"/>
        </w:rPr>
        <w:t>狠抓重点、稳步推进，大力推广乒乓运动，推进全民健身</w:t>
      </w:r>
      <w:r>
        <w:rPr>
          <w:rFonts w:hint="eastAsia" w:ascii="仿宋_GB2312" w:eastAsia="仿宋_GB2312" w:cs="仿宋_GB2312"/>
          <w:sz w:val="32"/>
          <w:szCs w:val="32"/>
          <w:lang w:eastAsia="zh-CN"/>
        </w:rPr>
        <w:t>。</w:t>
      </w:r>
    </w:p>
    <w:p>
      <w:pPr>
        <w:spacing w:line="620" w:lineRule="exact"/>
        <w:ind w:firstLine="632" w:firstLineChars="200"/>
        <w:rPr>
          <w:rFonts w:hint="eastAsia" w:eastAsia="仿宋_GB2312"/>
          <w:lang w:eastAsia="zh-CN"/>
        </w:rPr>
      </w:pPr>
      <w:r>
        <w:rPr>
          <w:rFonts w:hint="eastAsia" w:ascii="仿宋_GB2312" w:eastAsia="仿宋_GB2312" w:cs="仿宋_GB2312"/>
          <w:sz w:val="32"/>
          <w:szCs w:val="32"/>
        </w:rPr>
        <w:t>年度绩效目标</w:t>
      </w:r>
      <w:r>
        <w:rPr>
          <w:rFonts w:hint="eastAsia" w:ascii="仿宋_GB2312" w:eastAsia="仿宋_GB2312" w:cs="仿宋_GB2312"/>
          <w:sz w:val="32"/>
          <w:szCs w:val="32"/>
          <w:lang w:eastAsia="zh-CN"/>
        </w:rPr>
        <w:t>：1.</w:t>
      </w:r>
      <w:r>
        <w:rPr>
          <w:rFonts w:hint="eastAsia" w:ascii="仿宋_GB2312" w:eastAsia="仿宋_GB2312" w:cs="仿宋_GB2312"/>
          <w:sz w:val="32"/>
          <w:szCs w:val="32"/>
          <w:lang w:val="en-US" w:eastAsia="zh-CN"/>
        </w:rPr>
        <w:t>落实党建工作。</w:t>
      </w:r>
      <w:r>
        <w:rPr>
          <w:rFonts w:hint="eastAsia" w:ascii="仿宋_GB2312" w:eastAsia="仿宋_GB2312" w:cs="仿宋_GB2312"/>
          <w:sz w:val="32"/>
          <w:szCs w:val="32"/>
          <w:lang w:eastAsia="zh-CN"/>
        </w:rPr>
        <w:t>2.做好承接国家队、省队来黄集训相关工作。3.大力推进“乒乓名城”建设</w:t>
      </w:r>
      <w:r>
        <w:rPr>
          <w:rFonts w:hint="eastAsia" w:ascii="仿宋_GB2312" w:eastAsia="仿宋_GB2312" w:cs="仿宋_GB2312"/>
          <w:sz w:val="32"/>
          <w:szCs w:val="32"/>
          <w:lang w:val="en-US" w:eastAsia="zh-CN"/>
        </w:rPr>
        <w:t>工作</w:t>
      </w:r>
      <w:r>
        <w:rPr>
          <w:rFonts w:hint="eastAsia" w:ascii="仿宋_GB2312" w:eastAsia="仿宋_GB2312" w:cs="仿宋_GB2312"/>
          <w:sz w:val="32"/>
          <w:szCs w:val="32"/>
          <w:lang w:eastAsia="zh-CN"/>
        </w:rPr>
        <w:t>。4.做好赛事参与、承办、协办等方面工作。5.持续推进乒乓“进幼儿园、进校园、进社区”及乒怡康球馆相关工作。</w:t>
      </w:r>
      <w:r>
        <w:rPr>
          <w:rFonts w:hint="eastAsia" w:ascii="仿宋_GB2312" w:eastAsia="仿宋_GB2312" w:cs="仿宋_GB2312"/>
          <w:sz w:val="32"/>
          <w:szCs w:val="32"/>
          <w:lang w:val="en-US" w:eastAsia="zh-CN"/>
        </w:rPr>
        <w:t>6.推进省乒校、省水校建设工作。7</w:t>
      </w:r>
      <w:r>
        <w:rPr>
          <w:rFonts w:hint="eastAsia" w:ascii="仿宋_GB2312" w:eastAsia="仿宋_GB2312" w:cs="仿宋_GB2312"/>
          <w:sz w:val="32"/>
          <w:szCs w:val="32"/>
          <w:lang w:eastAsia="zh-CN"/>
        </w:rPr>
        <w:t>.深化体教融合。</w:t>
      </w:r>
      <w:r>
        <w:rPr>
          <w:rFonts w:hint="eastAsia" w:ascii="仿宋_GB2312" w:eastAsia="仿宋_GB2312" w:cs="仿宋_GB2312"/>
          <w:sz w:val="32"/>
          <w:szCs w:val="32"/>
          <w:lang w:val="en-US" w:eastAsia="zh-CN"/>
        </w:rPr>
        <w:t>8</w:t>
      </w:r>
      <w:r>
        <w:rPr>
          <w:rFonts w:hint="eastAsia" w:ascii="仿宋_GB2312" w:eastAsia="仿宋_GB2312" w:cs="仿宋_GB2312"/>
          <w:sz w:val="32"/>
          <w:szCs w:val="32"/>
          <w:lang w:eastAsia="zh-CN"/>
        </w:rPr>
        <w:t>.做好各项目队伍日常训练、参赛、后勤等工作。</w:t>
      </w:r>
      <w:r>
        <w:rPr>
          <w:rFonts w:hint="eastAsia" w:ascii="仿宋_GB2312" w:eastAsia="仿宋_GB2312" w:cs="仿宋_GB2312"/>
          <w:sz w:val="32"/>
          <w:szCs w:val="32"/>
          <w:lang w:val="en-US" w:eastAsia="zh-CN"/>
        </w:rPr>
        <w:t>9</w:t>
      </w:r>
      <w:r>
        <w:rPr>
          <w:rFonts w:hint="eastAsia" w:ascii="仿宋_GB2312" w:eastAsia="仿宋_GB2312" w:cs="仿宋_GB2312"/>
          <w:sz w:val="32"/>
          <w:szCs w:val="32"/>
          <w:lang w:eastAsia="zh-CN"/>
        </w:rPr>
        <w:t>.继续做好文明创建、下沉社区、卫生检查、档案管理、综合治理等方面的工作。</w:t>
      </w:r>
    </w:p>
    <w:p>
      <w:pPr>
        <w:spacing w:line="620" w:lineRule="exact"/>
        <w:ind w:firstLine="632" w:firstLineChars="200"/>
        <w:rPr>
          <w:rFonts w:hint="eastAsia"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简要概述项目资金情况</w:t>
      </w:r>
    </w:p>
    <w:p>
      <w:pPr>
        <w:spacing w:line="620" w:lineRule="exact"/>
        <w:ind w:firstLine="632"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管办分离补助经费主要用于补助单位管办分离后人员经费。</w:t>
      </w:r>
    </w:p>
    <w:p>
      <w:pPr>
        <w:spacing w:line="620" w:lineRule="exact"/>
        <w:ind w:firstLine="632" w:firstLineChars="200"/>
        <w:rPr>
          <w:rFonts w:ascii="楷体_GB2312" w:hAnsi="楷体" w:eastAsia="楷体_GB2312"/>
          <w:b/>
          <w:sz w:val="32"/>
          <w:szCs w:val="32"/>
        </w:rPr>
      </w:pPr>
      <w:r>
        <w:rPr>
          <w:rFonts w:hint="eastAsia" w:ascii="楷体_GB2312" w:hAnsi="楷体" w:eastAsia="楷体_GB2312" w:cs="楷体_GB2312"/>
          <w:b/>
          <w:sz w:val="32"/>
          <w:szCs w:val="32"/>
        </w:rPr>
        <w:t>（二）部门自评工作开展情况</w:t>
      </w:r>
    </w:p>
    <w:p>
      <w:pPr>
        <w:spacing w:line="620" w:lineRule="exact"/>
        <w:ind w:firstLine="632" w:firstLineChars="200"/>
        <w:outlineLvl w:val="0"/>
        <w:rPr>
          <w:rFonts w:hint="eastAsia" w:ascii="仿宋" w:hAnsi="仿宋" w:eastAsia="仿宋" w:cs="仿宋"/>
          <w:sz w:val="32"/>
          <w:szCs w:val="32"/>
        </w:rPr>
      </w:pPr>
      <w:r>
        <w:rPr>
          <w:rFonts w:hint="eastAsia" w:ascii="仿宋" w:hAnsi="仿宋" w:eastAsia="仿宋" w:cs="仿宋"/>
          <w:sz w:val="32"/>
          <w:szCs w:val="32"/>
        </w:rPr>
        <w:t>根据市级财政项目支出绩效评价工作要求，精心组织，周密部署，注重实效。</w:t>
      </w:r>
    </w:p>
    <w:p>
      <w:pPr>
        <w:spacing w:line="620" w:lineRule="exact"/>
        <w:ind w:firstLine="632" w:firstLineChars="200"/>
        <w:rPr>
          <w:rFonts w:ascii="楷体_GB2312" w:hAnsi="楷体" w:eastAsia="楷体_GB2312"/>
          <w:b/>
          <w:sz w:val="32"/>
          <w:szCs w:val="32"/>
        </w:rPr>
      </w:pPr>
      <w:r>
        <w:rPr>
          <w:rFonts w:hint="eastAsia" w:ascii="楷体_GB2312" w:hAnsi="楷体" w:eastAsia="楷体_GB2312" w:cs="楷体_GB2312"/>
          <w:b/>
          <w:sz w:val="32"/>
          <w:szCs w:val="32"/>
        </w:rPr>
        <w:t>（三）绩效目标完成情况分析</w:t>
      </w:r>
    </w:p>
    <w:p>
      <w:pPr>
        <w:spacing w:line="620" w:lineRule="exact"/>
        <w:ind w:firstLine="632" w:firstLineChars="200"/>
        <w:outlineLvl w:val="0"/>
        <w:rPr>
          <w:rFonts w:ascii="仿宋_GB2312" w:hAnsi="仿宋" w:eastAsia="仿宋_GB2312"/>
          <w:kern w:val="0"/>
          <w:sz w:val="32"/>
          <w:szCs w:val="32"/>
        </w:rPr>
      </w:pPr>
      <w:r>
        <w:rPr>
          <w:rFonts w:ascii="仿宋" w:hAnsi="仿宋" w:eastAsia="仿宋" w:cs="仿宋"/>
          <w:sz w:val="32"/>
          <w:szCs w:val="32"/>
        </w:rPr>
        <w:t>1.</w:t>
      </w:r>
      <w:r>
        <w:rPr>
          <w:rFonts w:hint="eastAsia" w:ascii="仿宋" w:hAnsi="仿宋" w:eastAsia="仿宋" w:cs="仿宋"/>
          <w:sz w:val="32"/>
          <w:szCs w:val="32"/>
        </w:rPr>
        <w:t>预算执行情况分析（包括完成情况和偏离原因等）。</w:t>
      </w:r>
    </w:p>
    <w:p>
      <w:pPr>
        <w:spacing w:line="620" w:lineRule="exact"/>
        <w:ind w:firstLine="632" w:firstLineChars="200"/>
        <w:outlineLvl w:val="0"/>
        <w:rPr>
          <w:rFonts w:hint="default" w:ascii="仿宋" w:hAnsi="仿宋" w:eastAsia="仿宋" w:cs="仿宋"/>
          <w:sz w:val="32"/>
          <w:szCs w:val="32"/>
          <w:lang w:val="en-US" w:eastAsia="zh-CN"/>
        </w:rPr>
      </w:pPr>
      <w:r>
        <w:rPr>
          <w:rFonts w:hint="eastAsia" w:ascii="仿宋" w:hAnsi="仿宋" w:eastAsia="仿宋" w:cs="仿宋"/>
          <w:sz w:val="32"/>
          <w:szCs w:val="32"/>
        </w:rPr>
        <w:t>公共预算财政拨款资金</w:t>
      </w:r>
      <w:r>
        <w:rPr>
          <w:rFonts w:hint="eastAsia" w:ascii="仿宋" w:hAnsi="仿宋" w:eastAsia="仿宋" w:cs="仿宋"/>
          <w:sz w:val="32"/>
          <w:szCs w:val="32"/>
          <w:lang w:val="en-US" w:eastAsia="zh-CN"/>
        </w:rPr>
        <w:t>1</w:t>
      </w:r>
      <w:r>
        <w:rPr>
          <w:rFonts w:hint="eastAsia" w:hAnsi="仿宋" w:cs="仿宋"/>
          <w:sz w:val="32"/>
          <w:szCs w:val="32"/>
          <w:lang w:val="en-US" w:eastAsia="zh-CN"/>
        </w:rPr>
        <w:t>83</w:t>
      </w:r>
      <w:r>
        <w:rPr>
          <w:rFonts w:hint="eastAsia" w:ascii="仿宋" w:hAnsi="仿宋" w:eastAsia="仿宋" w:cs="仿宋"/>
          <w:sz w:val="32"/>
          <w:szCs w:val="32"/>
        </w:rPr>
        <w:t>万元，实际支出金额</w:t>
      </w:r>
      <w:r>
        <w:rPr>
          <w:rFonts w:hint="eastAsia" w:ascii="仿宋" w:hAnsi="仿宋" w:eastAsia="仿宋" w:cs="仿宋"/>
          <w:sz w:val="32"/>
          <w:szCs w:val="32"/>
          <w:lang w:val="en-US" w:eastAsia="zh-CN"/>
        </w:rPr>
        <w:t>1</w:t>
      </w:r>
      <w:r>
        <w:rPr>
          <w:rFonts w:hint="eastAsia" w:hAnsi="仿宋" w:cs="仿宋"/>
          <w:sz w:val="32"/>
          <w:szCs w:val="32"/>
          <w:lang w:val="en-US" w:eastAsia="zh-CN"/>
        </w:rPr>
        <w:t>83</w:t>
      </w:r>
      <w:r>
        <w:rPr>
          <w:rFonts w:hint="eastAsia" w:ascii="仿宋" w:hAnsi="仿宋" w:eastAsia="仿宋" w:cs="仿宋"/>
          <w:sz w:val="32"/>
          <w:szCs w:val="32"/>
        </w:rPr>
        <w:t>万元，执行率100%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用以管办分离后人员经费补助。</w:t>
      </w:r>
    </w:p>
    <w:p>
      <w:pPr>
        <w:spacing w:line="620" w:lineRule="exact"/>
        <w:ind w:firstLine="632" w:firstLineChars="200"/>
        <w:outlineLvl w:val="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绩效目标完成情况分析（包括完成情况和偏离原因等）。</w:t>
      </w:r>
    </w:p>
    <w:p>
      <w:pPr>
        <w:spacing w:line="620" w:lineRule="exact"/>
        <w:ind w:firstLine="632"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）产出指标完成情况分析。</w:t>
      </w:r>
    </w:p>
    <w:p>
      <w:pPr>
        <w:spacing w:line="620" w:lineRule="exact"/>
        <w:ind w:firstLine="632" w:firstLineChars="200"/>
        <w:rPr>
          <w:rFonts w:hint="default" w:ascii="仿宋_GB2312" w:eastAsia="仿宋_GB2312" w:cs="仿宋_GB2312"/>
          <w:sz w:val="32"/>
          <w:szCs w:val="32"/>
          <w:lang w:val="en-US"/>
        </w:rPr>
      </w:pPr>
      <w:r>
        <w:rPr>
          <w:rFonts w:hint="eastAsia" w:ascii="仿宋_GB2312" w:eastAsia="仿宋_GB2312" w:cs="仿宋_GB2312"/>
          <w:sz w:val="32"/>
          <w:szCs w:val="32"/>
          <w:lang w:val="en-US" w:eastAsia="zh-CN"/>
        </w:rPr>
        <w:t>全年党政工作饱满，党建任务完成率100%，</w:t>
      </w:r>
      <w:r>
        <w:rPr>
          <w:rFonts w:hint="eastAsia" w:ascii="仿宋_GB2312" w:eastAsia="仿宋_GB2312" w:cs="仿宋_GB2312"/>
          <w:sz w:val="32"/>
          <w:szCs w:val="32"/>
        </w:rPr>
        <w:t>国家队、省队集训</w:t>
      </w:r>
      <w:r>
        <w:rPr>
          <w:rFonts w:hint="eastAsia" w:ascii="仿宋_GB2312" w:eastAsia="仿宋_GB2312" w:cs="仿宋_GB2312"/>
          <w:sz w:val="32"/>
          <w:szCs w:val="32"/>
          <w:lang w:val="en-US" w:eastAsia="zh-CN"/>
        </w:rPr>
        <w:t>接待</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办赛、参赛等业务工作完成率达100%。</w:t>
      </w:r>
    </w:p>
    <w:p>
      <w:pPr>
        <w:spacing w:line="620" w:lineRule="exact"/>
        <w:ind w:firstLine="632"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）效益指标完成情况分析。</w:t>
      </w:r>
    </w:p>
    <w:p>
      <w:pPr>
        <w:spacing w:line="620" w:lineRule="exact"/>
        <w:ind w:firstLine="632"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rPr>
        <w:t>全年参与乒乓球、羽毛球、水上运动训练人次</w:t>
      </w:r>
      <w:r>
        <w:rPr>
          <w:rFonts w:hint="eastAsia" w:ascii="仿宋_GB2312" w:eastAsia="仿宋_GB2312" w:cs="仿宋_GB2312"/>
          <w:sz w:val="32"/>
          <w:szCs w:val="32"/>
          <w:lang w:val="en-US" w:eastAsia="zh-CN"/>
        </w:rPr>
        <w:t>和</w:t>
      </w:r>
      <w:r>
        <w:rPr>
          <w:rFonts w:hint="eastAsia" w:ascii="仿宋_GB2312" w:eastAsia="仿宋_GB2312" w:cs="仿宋_GB2312"/>
          <w:sz w:val="32"/>
          <w:szCs w:val="32"/>
        </w:rPr>
        <w:t>市民不断增加</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更好推进全民健身。</w:t>
      </w:r>
    </w:p>
    <w:p>
      <w:pPr>
        <w:spacing w:line="620" w:lineRule="exact"/>
        <w:ind w:firstLine="632"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3</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社会效益目标完成情况分析。</w:t>
      </w:r>
    </w:p>
    <w:p>
      <w:pPr>
        <w:spacing w:line="620" w:lineRule="exact"/>
        <w:ind w:firstLine="632"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通过赛事活动，</w:t>
      </w:r>
      <w:r>
        <w:rPr>
          <w:rFonts w:hint="default" w:ascii="仿宋_GB2312" w:eastAsia="仿宋_GB2312" w:cs="仿宋_GB2312"/>
          <w:sz w:val="32"/>
          <w:szCs w:val="32"/>
          <w:lang w:val="en-US" w:eastAsia="zh-CN"/>
        </w:rPr>
        <w:t>吸引外地来黄参加比赛</w:t>
      </w:r>
      <w:r>
        <w:rPr>
          <w:rFonts w:hint="eastAsia" w:ascii="仿宋_GB2312" w:eastAsia="仿宋_GB2312" w:cs="仿宋_GB2312"/>
          <w:sz w:val="32"/>
          <w:szCs w:val="32"/>
          <w:lang w:val="en-US" w:eastAsia="zh-CN"/>
        </w:rPr>
        <w:t>的人员，不断</w:t>
      </w:r>
      <w:r>
        <w:rPr>
          <w:rFonts w:hint="default" w:ascii="仿宋_GB2312" w:eastAsia="仿宋_GB2312" w:cs="仿宋_GB2312"/>
          <w:sz w:val="32"/>
          <w:szCs w:val="32"/>
          <w:lang w:val="en-US" w:eastAsia="zh-CN"/>
        </w:rPr>
        <w:t>增加宣传报道曝光率</w:t>
      </w:r>
      <w:r>
        <w:rPr>
          <w:rFonts w:hint="eastAsia" w:ascii="仿宋_GB2312" w:eastAsia="仿宋_GB2312" w:cs="仿宋_GB2312"/>
          <w:sz w:val="32"/>
          <w:szCs w:val="32"/>
          <w:lang w:val="en-US" w:eastAsia="zh-CN"/>
        </w:rPr>
        <w:t>。</w:t>
      </w:r>
    </w:p>
    <w:p>
      <w:pPr>
        <w:spacing w:line="620" w:lineRule="exact"/>
        <w:ind w:firstLine="632" w:firstLineChars="200"/>
        <w:rPr>
          <w:rFonts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）满意度指标完成情况分析。</w:t>
      </w:r>
    </w:p>
    <w:p>
      <w:pPr>
        <w:spacing w:line="620" w:lineRule="exact"/>
        <w:ind w:firstLine="632"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公众满意度达到95%，无投诉现象。</w:t>
      </w:r>
    </w:p>
    <w:p>
      <w:pPr>
        <w:spacing w:line="620" w:lineRule="exact"/>
        <w:ind w:firstLine="632" w:firstLineChars="200"/>
        <w:rPr>
          <w:rFonts w:ascii="楷体_GB2312" w:hAnsi="楷体" w:eastAsia="楷体_GB2312" w:cs="楷体_GB2312"/>
          <w:b/>
          <w:sz w:val="32"/>
          <w:szCs w:val="32"/>
        </w:rPr>
      </w:pPr>
      <w:r>
        <w:rPr>
          <w:rFonts w:hint="eastAsia" w:ascii="楷体_GB2312" w:hAnsi="楷体" w:eastAsia="楷体_GB2312" w:cs="楷体_GB2312"/>
          <w:b/>
          <w:sz w:val="32"/>
          <w:szCs w:val="32"/>
        </w:rPr>
        <w:t>（四）上年度部门自评结果应用情况</w:t>
      </w:r>
    </w:p>
    <w:p>
      <w:pPr>
        <w:spacing w:line="620" w:lineRule="exact"/>
        <w:ind w:firstLine="632" w:firstLineChars="200"/>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结合去年的绩效目标完成情况，细化分解相应指标。制定科学合理的绩效目标和年度指标值，注意根据每年的重点工作变化情况，合理编制涉及到的绩效目标值。</w:t>
      </w:r>
    </w:p>
    <w:p>
      <w:pPr>
        <w:pStyle w:val="2"/>
        <w:ind w:firstLine="632" w:firstLineChars="200"/>
        <w:rPr>
          <w:rFonts w:hint="default" w:eastAsia="楷体_GB2312"/>
          <w:lang w:val="en-US" w:eastAsia="zh-CN"/>
        </w:rPr>
      </w:pPr>
      <w:r>
        <w:rPr>
          <w:rFonts w:hint="eastAsia" w:ascii="楷体_GB2312" w:hAnsi="楷体" w:eastAsia="楷体_GB2312" w:cs="楷体_GB2312"/>
          <w:b/>
          <w:sz w:val="32"/>
          <w:szCs w:val="32"/>
        </w:rPr>
        <w:t>（</w:t>
      </w:r>
      <w:r>
        <w:rPr>
          <w:rFonts w:hint="eastAsia" w:ascii="楷体_GB2312" w:hAnsi="楷体" w:eastAsia="楷体_GB2312" w:cs="楷体_GB2312"/>
          <w:b/>
          <w:sz w:val="32"/>
          <w:szCs w:val="32"/>
          <w:lang w:val="en-US" w:eastAsia="zh-CN"/>
        </w:rPr>
        <w:t>五</w:t>
      </w:r>
      <w:r>
        <w:rPr>
          <w:rFonts w:hint="eastAsia" w:ascii="楷体_GB2312" w:hAnsi="楷体" w:eastAsia="楷体_GB2312" w:cs="楷体_GB2312"/>
          <w:b/>
          <w:sz w:val="32"/>
          <w:szCs w:val="32"/>
        </w:rPr>
        <w:t>）</w:t>
      </w:r>
      <w:r>
        <w:rPr>
          <w:rFonts w:hint="eastAsia" w:ascii="楷体_GB2312" w:hAnsi="楷体" w:eastAsia="楷体_GB2312" w:cs="楷体_GB2312"/>
          <w:b/>
          <w:sz w:val="32"/>
          <w:szCs w:val="32"/>
          <w:lang w:val="en-US" w:eastAsia="zh-CN"/>
        </w:rPr>
        <w:t>其他佐证材料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1.履行抓党建主体责任。</w:t>
      </w:r>
      <w:r>
        <w:rPr>
          <w:rFonts w:hint="eastAsia" w:hAnsi="仿宋" w:cs="仿宋"/>
          <w:b w:val="0"/>
          <w:bCs w:val="0"/>
          <w:color w:val="auto"/>
          <w:sz w:val="32"/>
          <w:szCs w:val="32"/>
          <w:lang w:val="en-US" w:eastAsia="zh-CN"/>
        </w:rPr>
        <w:t>根据</w:t>
      </w:r>
      <w:r>
        <w:rPr>
          <w:rFonts w:hint="eastAsia" w:ascii="仿宋" w:hAnsi="仿宋" w:eastAsia="仿宋" w:cs="仿宋"/>
          <w:b w:val="0"/>
          <w:bCs w:val="0"/>
          <w:color w:val="auto"/>
          <w:sz w:val="32"/>
          <w:szCs w:val="32"/>
          <w:lang w:val="en-US" w:eastAsia="zh-CN"/>
        </w:rPr>
        <w:t>年度党建工作要点和责任清单，规范执行“三会一课”制度，结合“百名干部结百企”、“我为群众办实事”、下沉社区领办微心愿、文明创建、普法建设等实践活动，增强党建工作的活力和凝聚力。强化廉政建设，营造风清气正的政治生态环境。适应新形势，积极做好舆论引导和宣传工作。严管队伍，从严从实强化干部队伍建设。</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rPr>
          <w:rFonts w:hint="eastAsia" w:hAnsi="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2.三次接待国家队来黄集训，两次接待香港队来黄集训</w:t>
      </w:r>
      <w:r>
        <w:rPr>
          <w:rFonts w:hint="eastAsia" w:ascii="楷体" w:hAnsi="楷体" w:eastAsia="楷体" w:cs="楷体"/>
          <w:b w:val="0"/>
          <w:bCs w:val="0"/>
          <w:color w:val="auto"/>
          <w:sz w:val="32"/>
          <w:szCs w:val="32"/>
        </w:rPr>
        <w:t>。</w:t>
      </w:r>
      <w:r>
        <w:rPr>
          <w:rFonts w:hint="eastAsia" w:ascii="仿宋" w:hAnsi="仿宋" w:eastAsia="仿宋" w:cs="仿宋"/>
          <w:b w:val="0"/>
          <w:bCs w:val="0"/>
          <w:color w:val="auto"/>
          <w:sz w:val="32"/>
          <w:szCs w:val="32"/>
          <w:lang w:val="en-US" w:eastAsia="zh-CN"/>
        </w:rPr>
        <w:t>队伍来黄集训</w:t>
      </w:r>
      <w:r>
        <w:rPr>
          <w:rFonts w:hint="eastAsia" w:hAnsi="仿宋" w:cs="仿宋"/>
          <w:b w:val="0"/>
          <w:bCs w:val="0"/>
          <w:color w:val="auto"/>
          <w:sz w:val="32"/>
          <w:szCs w:val="32"/>
          <w:lang w:val="en-US" w:eastAsia="zh-CN"/>
        </w:rPr>
        <w:t>期间，基地工作人员尽职尽责在食宿、训练、防疫、场馆器材、文化学习等方面给予充分保障，保障服务工作得到了中国乒协、香港乒乓总会的充分肯定。积极参赛备战，省运增光添彩，乒乓项目在本届省运会夺得2金3银7铜；羽毛球项目夺得2金3银1铜，超额完成目标任务；水上项目夺得10金6银2铜，金牌数第一，团体总分第二，超额完成了省运会既定目标。除省运会赛事外，国乒基地组队参加了8项次省级以上赛事，本年度，也顺利通过了湖北省体育局乒乓球协会、羽毛球协会后备人才训练基地的考核。打造“乒乓名城”，擦亮金字招牌，湖北省乒乓球学校落户黄石；黄石基地·华新俱乐部在2022年乒超超联赛中获得季军；深化北大合作；持续推进专业队建设；乒乓进幼儿园、进校园、进社区；开展全国乒乓球夏令营活动；加强对外交流活动；圆满协办全国乒乓球锦标赛，副省长邵新宇、市委书记郄英才、市长吴之凌出席赛事活动。</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b w:val="0"/>
          <w:bCs w:val="0"/>
          <w:color w:val="auto"/>
          <w:sz w:val="32"/>
          <w:szCs w:val="32"/>
          <w:lang w:val="en-US" w:eastAsia="zh-CN"/>
        </w:rPr>
        <w:t>3.湖北省水上项目集训队两次来黄训练。</w:t>
      </w:r>
      <w:r>
        <w:rPr>
          <w:rFonts w:hint="eastAsia" w:hAnsi="仿宋" w:cs="仿宋"/>
          <w:b w:val="0"/>
          <w:bCs w:val="0"/>
          <w:color w:val="auto"/>
          <w:sz w:val="32"/>
          <w:szCs w:val="32"/>
          <w:lang w:val="en-US" w:eastAsia="zh-CN"/>
        </w:rPr>
        <w:t>承办“我们的节日·乐享端午”2022年黄石市首届端午龙舟嘉年华活动。</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rPr>
          <w:rFonts w:hint="eastAsia" w:hAnsi="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4.深入城市文明创建，深化精神文明建设。</w:t>
      </w:r>
      <w:r>
        <w:rPr>
          <w:rFonts w:hint="eastAsia" w:hAnsi="仿宋" w:cs="仿宋"/>
          <w:b w:val="0"/>
          <w:bCs w:val="0"/>
          <w:color w:val="auto"/>
          <w:sz w:val="32"/>
          <w:szCs w:val="32"/>
          <w:lang w:val="en-US" w:eastAsia="zh-CN"/>
        </w:rPr>
        <w:t>国乒基地爱国主义教育基地全年对外，免费组织12场次参观活动，接待人数500人左右；国乒基地与海口湖管理区新时代文明实践所共建共享；完成黄石港区道路交通志愿服务工作；开展精神文明建设系列活动；做好档案、工青妇等相关工作。</w:t>
      </w:r>
    </w:p>
    <w:p>
      <w:pPr>
        <w:spacing w:line="560" w:lineRule="exact"/>
        <w:ind w:firstLine="632" w:firstLineChars="200"/>
        <w:rPr>
          <w:rFonts w:hint="eastAsia" w:ascii="仿宋_GB2312" w:eastAsia="仿宋_GB2312" w:cs="仿宋_GB2312"/>
          <w:szCs w:val="32"/>
          <w:lang w:val="en-US" w:eastAsia="zh-CN"/>
        </w:rPr>
      </w:pPr>
    </w:p>
    <w:p>
      <w:pPr>
        <w:spacing w:line="560" w:lineRule="exact"/>
        <w:ind w:firstLine="632" w:firstLineChars="200"/>
        <w:jc w:val="right"/>
        <w:rPr>
          <w:rFonts w:ascii="仿宋_GB2312" w:eastAsia="仿宋_GB2312" w:cs="仿宋_GB2312"/>
          <w:szCs w:val="32"/>
        </w:rPr>
      </w:pPr>
      <w:r>
        <w:rPr>
          <w:rFonts w:hint="eastAsia" w:ascii="仿宋_GB2312" w:eastAsia="仿宋_GB2312" w:cs="仿宋_GB2312"/>
          <w:szCs w:val="32"/>
          <w:lang w:val="en-US" w:eastAsia="zh-CN"/>
        </w:rPr>
        <w:t>2023年7月5日</w:t>
      </w:r>
      <w:r>
        <w:rPr>
          <w:rFonts w:ascii="仿宋_GB2312" w:eastAsia="仿宋_GB2312" w:cs="仿宋_GB2312"/>
          <w:szCs w:val="32"/>
        </w:rPr>
        <w:br w:type="page"/>
      </w:r>
    </w:p>
    <w:p>
      <w:pPr>
        <w:widowControl/>
        <w:snapToGrid w:val="0"/>
        <w:rPr>
          <w:rFonts w:ascii="黑体" w:hAnsi="宋体" w:eastAsia="黑体" w:cs="黑体"/>
          <w:sz w:val="32"/>
          <w:szCs w:val="32"/>
        </w:rPr>
      </w:pPr>
      <w:r>
        <w:rPr>
          <w:rFonts w:hint="eastAsia" w:ascii="黑体" w:hAnsi="宋体" w:eastAsia="黑体" w:cs="黑体"/>
          <w:sz w:val="32"/>
          <w:szCs w:val="32"/>
        </w:rPr>
        <w:t>附</w:t>
      </w:r>
      <w:r>
        <w:rPr>
          <w:rFonts w:hint="eastAsia" w:ascii="黑体" w:hAnsi="宋体" w:eastAsia="黑体" w:cs="黑体"/>
          <w:sz w:val="32"/>
          <w:szCs w:val="32"/>
          <w:lang w:eastAsia="zh-CN"/>
        </w:rPr>
        <w:t>表</w:t>
      </w:r>
      <w:r>
        <w:rPr>
          <w:rFonts w:hint="eastAsia" w:ascii="黑体" w:hAnsi="宋体" w:eastAsia="黑体" w:cs="黑体"/>
          <w:sz w:val="32"/>
          <w:szCs w:val="32"/>
        </w:rPr>
        <w:t>2</w:t>
      </w:r>
    </w:p>
    <w:p>
      <w:pPr>
        <w:snapToGrid w:val="0"/>
        <w:jc w:val="center"/>
        <w:rPr>
          <w:rFonts w:ascii="方正大标宋简体" w:hAnsi="宋体" w:eastAsia="方正大标宋简体"/>
          <w:sz w:val="44"/>
          <w:szCs w:val="44"/>
        </w:rPr>
      </w:pPr>
      <w:r>
        <w:rPr>
          <w:rFonts w:hint="eastAsia" w:ascii="方正大标宋简体" w:hAnsi="宋体" w:eastAsia="方正大标宋简体" w:cs="方正小标宋简体"/>
          <w:sz w:val="44"/>
          <w:szCs w:val="44"/>
          <w:lang w:val="en-US" w:eastAsia="zh-CN"/>
        </w:rPr>
        <w:t>2022</w:t>
      </w:r>
      <w:r>
        <w:rPr>
          <w:rFonts w:hint="eastAsia" w:ascii="方正大标宋简体" w:hAnsi="宋体" w:eastAsia="方正大标宋简体" w:cs="方正小标宋简体"/>
          <w:sz w:val="44"/>
          <w:szCs w:val="44"/>
        </w:rPr>
        <w:t>年度</w:t>
      </w:r>
      <w:r>
        <w:rPr>
          <w:rFonts w:hint="eastAsia" w:ascii="方正大标宋简体" w:hAnsi="宋体" w:eastAsia="方正大标宋简体" w:cs="方正小标宋简体"/>
          <w:sz w:val="44"/>
          <w:szCs w:val="44"/>
          <w:lang w:eastAsia="zh-CN"/>
        </w:rPr>
        <w:t>管办分离补助</w:t>
      </w:r>
      <w:r>
        <w:rPr>
          <w:rFonts w:hint="eastAsia" w:ascii="方正大标宋简体" w:hAnsi="宋体" w:eastAsia="方正大标宋简体" w:cs="方正小标宋简体"/>
          <w:sz w:val="44"/>
          <w:szCs w:val="44"/>
        </w:rPr>
        <w:t>项目自评表</w:t>
      </w:r>
    </w:p>
    <w:p>
      <w:pPr>
        <w:snapToGrid w:val="0"/>
        <w:spacing w:line="580" w:lineRule="exact"/>
        <w:rPr>
          <w:rFonts w:ascii="楷体_GB2312" w:hAnsi="楷体" w:eastAsia="楷体_GB2312" w:cs="楷体_GB2312"/>
          <w:b/>
          <w:sz w:val="32"/>
          <w:szCs w:val="32"/>
        </w:rPr>
      </w:pPr>
      <w:r>
        <w:rPr>
          <w:rFonts w:hint="eastAsia" w:ascii="楷体_GB2312" w:hAnsi="楷体" w:eastAsia="楷体_GB2312" w:cs="楷体_GB2312"/>
          <w:b/>
          <w:sz w:val="32"/>
          <w:szCs w:val="32"/>
        </w:rPr>
        <w:t xml:space="preserve">项目单位（盖章）： </w:t>
      </w:r>
      <w:r>
        <w:rPr>
          <w:rFonts w:ascii="楷体_GB2312" w:hAnsi="楷体" w:eastAsia="楷体_GB2312" w:cs="楷体_GB2312"/>
          <w:b/>
          <w:sz w:val="32"/>
          <w:szCs w:val="32"/>
        </w:rPr>
        <w:t xml:space="preserve">             </w:t>
      </w:r>
      <w:r>
        <w:rPr>
          <w:rFonts w:hint="eastAsia" w:ascii="楷体_GB2312" w:hAnsi="楷体" w:eastAsia="楷体_GB2312" w:cs="楷体_GB2312"/>
          <w:b/>
          <w:sz w:val="32"/>
          <w:szCs w:val="32"/>
        </w:rPr>
        <w:t>主要领导签字：</w:t>
      </w:r>
    </w:p>
    <w:p>
      <w:pPr>
        <w:widowControl/>
        <w:snapToGrid w:val="0"/>
        <w:spacing w:line="580" w:lineRule="exact"/>
        <w:jc w:val="left"/>
        <w:rPr>
          <w:rFonts w:ascii="楷体_GB2312" w:hAnsi="楷体" w:eastAsia="楷体_GB2312" w:cs="楷体_GB2312"/>
          <w:b/>
          <w:sz w:val="32"/>
          <w:szCs w:val="32"/>
        </w:rPr>
      </w:pPr>
      <w:r>
        <w:rPr>
          <w:rFonts w:hint="eastAsia" w:ascii="楷体_GB2312" w:hAnsi="楷体" w:eastAsia="楷体_GB2312" w:cs="楷体_GB2312"/>
          <w:b/>
          <w:sz w:val="32"/>
          <w:szCs w:val="32"/>
        </w:rPr>
        <w:t>填报日期：</w:t>
      </w:r>
    </w:p>
    <w:tbl>
      <w:tblPr>
        <w:tblStyle w:val="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项目名称</w:t>
            </w:r>
          </w:p>
        </w:tc>
        <w:tc>
          <w:tcPr>
            <w:tcW w:w="7420" w:type="dxa"/>
            <w:gridSpan w:val="8"/>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lang w:eastAsia="zh-CN"/>
              </w:rPr>
              <w:t>管办分离补助</w:t>
            </w:r>
            <w:r>
              <w:rPr>
                <w:rFonts w:hint="eastAsia" w:ascii="仿宋_GB2312" w:hAnsi="宋体"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主管部门</w:t>
            </w:r>
          </w:p>
        </w:tc>
        <w:tc>
          <w:tcPr>
            <w:tcW w:w="3364" w:type="dxa"/>
            <w:gridSpan w:val="3"/>
            <w:vAlign w:val="center"/>
          </w:tcPr>
          <w:p>
            <w:pPr>
              <w:widowControl/>
              <w:snapToGrid w:val="0"/>
              <w:jc w:val="left"/>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黄石市体育事业发展中心</w:t>
            </w:r>
          </w:p>
        </w:tc>
        <w:tc>
          <w:tcPr>
            <w:tcW w:w="2520" w:type="dxa"/>
            <w:gridSpan w:val="3"/>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项目实施单位</w:t>
            </w:r>
          </w:p>
        </w:tc>
        <w:tc>
          <w:tcPr>
            <w:tcW w:w="1536" w:type="dxa"/>
            <w:gridSpan w:val="2"/>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lang w:eastAsia="zh-CN"/>
              </w:rPr>
              <w:t>中国乒乓球队黄石训练基地</w:t>
            </w:r>
            <w:r>
              <w:rPr>
                <w:rFonts w:hint="eastAsia" w:ascii="仿宋_GB2312" w:hAnsi="宋体"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项目类别</w:t>
            </w:r>
          </w:p>
        </w:tc>
        <w:tc>
          <w:tcPr>
            <w:tcW w:w="7420" w:type="dxa"/>
            <w:gridSpan w:val="8"/>
            <w:vAlign w:val="center"/>
          </w:tcPr>
          <w:p>
            <w:pPr>
              <w:widowControl/>
              <w:snapToGrid w:val="0"/>
              <w:jc w:val="left"/>
              <w:rPr>
                <w:rFonts w:ascii="仿宋_GB2312" w:hAnsi="宋体" w:eastAsia="仿宋_GB2312"/>
                <w:kern w:val="0"/>
                <w:sz w:val="21"/>
                <w:szCs w:val="21"/>
              </w:rPr>
            </w:pPr>
            <w:r>
              <w:rPr>
                <w:rFonts w:ascii="仿宋_GB2312" w:hAnsi="宋体" w:eastAsia="仿宋_GB2312" w:cs="仿宋_GB2312"/>
                <w:kern w:val="0"/>
                <w:sz w:val="21"/>
                <w:szCs w:val="21"/>
              </w:rPr>
              <w:t>1</w:t>
            </w:r>
            <w:r>
              <w:rPr>
                <w:rFonts w:hint="eastAsia" w:ascii="仿宋_GB2312" w:hAnsi="宋体" w:eastAsia="仿宋_GB2312" w:cs="仿宋_GB2312"/>
                <w:kern w:val="0"/>
                <w:sz w:val="21"/>
                <w:szCs w:val="21"/>
              </w:rPr>
              <w:t>、部门预算项目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 xml:space="preserve">   2</w:t>
            </w:r>
            <w:r>
              <w:rPr>
                <w:rFonts w:hint="eastAsia" w:ascii="仿宋_GB2312" w:hAnsi="宋体" w:eastAsia="仿宋_GB2312" w:cs="仿宋_GB2312"/>
                <w:kern w:val="0"/>
                <w:sz w:val="21"/>
                <w:szCs w:val="21"/>
              </w:rPr>
              <w:t>、市直专项</w:t>
            </w:r>
            <w:r>
              <w:rPr>
                <w:rFonts w:ascii="仿宋_GB2312" w:hAnsi="宋体" w:eastAsia="仿宋_GB2312" w:cs="仿宋_GB2312"/>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项目属性</w:t>
            </w:r>
          </w:p>
        </w:tc>
        <w:tc>
          <w:tcPr>
            <w:tcW w:w="7420" w:type="dxa"/>
            <w:gridSpan w:val="8"/>
            <w:vAlign w:val="center"/>
          </w:tcPr>
          <w:p>
            <w:pPr>
              <w:widowControl/>
              <w:snapToGrid w:val="0"/>
              <w:jc w:val="left"/>
              <w:rPr>
                <w:rFonts w:ascii="仿宋_GB2312" w:hAnsi="宋体" w:eastAsia="仿宋_GB2312" w:cs="仿宋_GB2312"/>
                <w:kern w:val="0"/>
                <w:sz w:val="21"/>
                <w:szCs w:val="21"/>
              </w:rPr>
            </w:pPr>
            <w:r>
              <w:rPr>
                <w:rFonts w:ascii="仿宋_GB2312" w:hAnsi="宋体" w:eastAsia="仿宋_GB2312" w:cs="仿宋_GB2312"/>
                <w:kern w:val="0"/>
                <w:sz w:val="21"/>
                <w:szCs w:val="21"/>
              </w:rPr>
              <w:t>1</w:t>
            </w:r>
            <w:r>
              <w:rPr>
                <w:rFonts w:hint="eastAsia" w:ascii="仿宋_GB2312" w:hAnsi="宋体" w:eastAsia="仿宋_GB2312" w:cs="仿宋_GB2312"/>
                <w:kern w:val="0"/>
                <w:sz w:val="21"/>
                <w:szCs w:val="21"/>
              </w:rPr>
              <w:t>、持续性项目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lang w:eastAsia="zh-CN"/>
              </w:rPr>
              <w:t>√</w:t>
            </w:r>
            <w:r>
              <w:rPr>
                <w:rFonts w:ascii="仿宋_GB2312" w:hAnsi="宋体" w:eastAsia="仿宋_GB2312" w:cs="仿宋_GB2312"/>
                <w:kern w:val="0"/>
                <w:sz w:val="21"/>
                <w:szCs w:val="21"/>
              </w:rPr>
              <w:t xml:space="preserve"> 2</w:t>
            </w:r>
            <w:r>
              <w:rPr>
                <w:rFonts w:hint="eastAsia" w:ascii="仿宋_GB2312" w:hAnsi="宋体" w:eastAsia="仿宋_GB2312" w:cs="仿宋_GB2312"/>
                <w:kern w:val="0"/>
                <w:sz w:val="21"/>
                <w:szCs w:val="21"/>
              </w:rPr>
              <w:t>、新增性项目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项目类型</w:t>
            </w:r>
          </w:p>
        </w:tc>
        <w:tc>
          <w:tcPr>
            <w:tcW w:w="7420" w:type="dxa"/>
            <w:gridSpan w:val="8"/>
            <w:vAlign w:val="center"/>
          </w:tcPr>
          <w:p>
            <w:pPr>
              <w:widowControl/>
              <w:snapToGrid w:val="0"/>
              <w:jc w:val="left"/>
              <w:rPr>
                <w:rFonts w:ascii="仿宋_GB2312" w:hAnsi="宋体" w:eastAsia="仿宋_GB2312"/>
                <w:kern w:val="0"/>
                <w:sz w:val="21"/>
                <w:szCs w:val="21"/>
              </w:rPr>
            </w:pPr>
            <w:r>
              <w:rPr>
                <w:rFonts w:ascii="仿宋_GB2312" w:hAnsi="宋体" w:eastAsia="仿宋_GB2312" w:cs="仿宋_GB2312"/>
                <w:kern w:val="0"/>
                <w:sz w:val="21"/>
                <w:szCs w:val="21"/>
              </w:rPr>
              <w:t>1</w:t>
            </w:r>
            <w:r>
              <w:rPr>
                <w:rFonts w:hint="eastAsia" w:ascii="仿宋_GB2312" w:hAnsi="宋体" w:eastAsia="仿宋_GB2312" w:cs="仿宋_GB2312"/>
                <w:kern w:val="0"/>
                <w:sz w:val="21"/>
                <w:szCs w:val="21"/>
              </w:rPr>
              <w:t>、常年性项目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 xml:space="preserve">   2</w:t>
            </w:r>
            <w:r>
              <w:rPr>
                <w:rFonts w:hint="eastAsia" w:ascii="仿宋_GB2312" w:hAnsi="宋体" w:eastAsia="仿宋_GB2312" w:cs="仿宋_GB2312"/>
                <w:kern w:val="0"/>
                <w:sz w:val="21"/>
                <w:szCs w:val="21"/>
              </w:rPr>
              <w:t>、延续性项目</w:t>
            </w:r>
            <w:r>
              <w:rPr>
                <w:rFonts w:hint="eastAsia" w:ascii="仿宋_GB2312" w:hAnsi="宋体" w:eastAsia="仿宋_GB2312" w:cs="仿宋_GB2312"/>
                <w:kern w:val="0"/>
                <w:sz w:val="21"/>
                <w:szCs w:val="21"/>
                <w:lang w:eastAsia="zh-CN"/>
              </w:rPr>
              <w:t>√</w:t>
            </w:r>
            <w:r>
              <w:rPr>
                <w:rFonts w:ascii="仿宋_GB2312" w:hAnsi="宋体" w:eastAsia="仿宋_GB2312" w:cs="仿宋_GB2312"/>
                <w:kern w:val="0"/>
                <w:sz w:val="21"/>
                <w:szCs w:val="21"/>
              </w:rPr>
              <w:t xml:space="preserve">      3</w:t>
            </w:r>
            <w:r>
              <w:rPr>
                <w:rFonts w:hint="eastAsia" w:ascii="仿宋_GB2312" w:hAnsi="宋体" w:eastAsia="仿宋_GB2312" w:cs="仿宋_GB2312"/>
                <w:kern w:val="0"/>
                <w:sz w:val="21"/>
                <w:szCs w:val="21"/>
              </w:rPr>
              <w:t>、一次性项目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预算执行情况（万元）</w:t>
            </w:r>
          </w:p>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20</w:t>
            </w:r>
            <w:r>
              <w:rPr>
                <w:rFonts w:hint="eastAsia" w:ascii="仿宋_GB2312" w:hAnsi="宋体" w:eastAsia="仿宋_GB2312" w:cs="仿宋_GB2312"/>
                <w:kern w:val="0"/>
                <w:sz w:val="21"/>
                <w:szCs w:val="21"/>
              </w:rPr>
              <w:t>分）</w:t>
            </w:r>
          </w:p>
        </w:tc>
        <w:tc>
          <w:tcPr>
            <w:tcW w:w="1122" w:type="dxa"/>
            <w:vAlign w:val="center"/>
          </w:tcPr>
          <w:p>
            <w:pPr>
              <w:widowControl/>
              <w:snapToGrid w:val="0"/>
              <w:jc w:val="center"/>
              <w:rPr>
                <w:rFonts w:ascii="仿宋_GB2312" w:hAnsi="宋体" w:eastAsia="仿宋_GB2312"/>
                <w:kern w:val="0"/>
                <w:sz w:val="21"/>
                <w:szCs w:val="21"/>
              </w:rPr>
            </w:pPr>
          </w:p>
        </w:tc>
        <w:tc>
          <w:tcPr>
            <w:tcW w:w="1319" w:type="dxa"/>
            <w:vAlign w:val="center"/>
          </w:tcPr>
          <w:p>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预算数（</w:t>
            </w:r>
            <w:r>
              <w:rPr>
                <w:rFonts w:ascii="仿宋_GB2312" w:hAnsi="宋体" w:eastAsia="仿宋_GB2312" w:cs="仿宋_GB2312"/>
                <w:kern w:val="0"/>
                <w:sz w:val="21"/>
                <w:szCs w:val="21"/>
              </w:rPr>
              <w:t>A）</w:t>
            </w:r>
          </w:p>
        </w:tc>
        <w:tc>
          <w:tcPr>
            <w:tcW w:w="1317" w:type="dxa"/>
            <w:gridSpan w:val="2"/>
            <w:vAlign w:val="center"/>
          </w:tcPr>
          <w:p>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执行数</w:t>
            </w:r>
            <w:r>
              <w:rPr>
                <w:rFonts w:ascii="仿宋_GB2312" w:hAnsi="宋体" w:eastAsia="仿宋_GB2312" w:cs="仿宋_GB2312"/>
                <w:kern w:val="0"/>
                <w:sz w:val="21"/>
                <w:szCs w:val="21"/>
              </w:rPr>
              <w:t>（B）</w:t>
            </w:r>
          </w:p>
        </w:tc>
        <w:tc>
          <w:tcPr>
            <w:tcW w:w="1466" w:type="dxa"/>
            <w:vAlign w:val="center"/>
          </w:tcPr>
          <w:p>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执行率</w:t>
            </w:r>
            <w:r>
              <w:rPr>
                <w:rFonts w:ascii="仿宋_GB2312" w:hAnsi="宋体" w:eastAsia="仿宋_GB2312" w:cs="仿宋_GB2312"/>
                <w:kern w:val="0"/>
                <w:sz w:val="21"/>
                <w:szCs w:val="21"/>
              </w:rPr>
              <w:t>（B/A）</w:t>
            </w:r>
          </w:p>
        </w:tc>
        <w:tc>
          <w:tcPr>
            <w:tcW w:w="2196" w:type="dxa"/>
            <w:gridSpan w:val="3"/>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得分</w:t>
            </w:r>
          </w:p>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20</w:t>
            </w:r>
            <w:r>
              <w:rPr>
                <w:rFonts w:hint="eastAsia" w:ascii="仿宋_GB2312" w:hAnsi="宋体" w:eastAsia="仿宋_GB2312" w:cs="仿宋_GB2312"/>
                <w:kern w:val="0"/>
                <w:sz w:val="21"/>
                <w:szCs w:val="21"/>
              </w:rPr>
              <w:t>分</w:t>
            </w:r>
            <w:r>
              <w:rPr>
                <w:rFonts w:ascii="仿宋_GB2312" w:hAnsi="宋体" w:eastAsia="仿宋_GB2312" w:cs="仿宋_GB2312"/>
                <w:kern w:val="0"/>
                <w:sz w:val="21"/>
                <w:szCs w:val="21"/>
              </w:rPr>
              <w:t>*</w:t>
            </w:r>
            <w:r>
              <w:rPr>
                <w:rFonts w:hint="eastAsia" w:ascii="仿宋_GB2312" w:hAnsi="宋体" w:eastAsia="仿宋_GB2312" w:cs="仿宋_GB2312"/>
                <w:kern w:val="0"/>
                <w:sz w:val="21"/>
                <w:szCs w:val="21"/>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kern w:val="0"/>
                <w:sz w:val="21"/>
                <w:szCs w:val="21"/>
              </w:rPr>
            </w:pPr>
          </w:p>
        </w:tc>
        <w:tc>
          <w:tcPr>
            <w:tcW w:w="1122" w:type="dxa"/>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年度财政资金总额</w:t>
            </w:r>
          </w:p>
        </w:tc>
        <w:tc>
          <w:tcPr>
            <w:tcW w:w="1319" w:type="dxa"/>
            <w:vAlign w:val="center"/>
          </w:tcPr>
          <w:p>
            <w:pPr>
              <w:widowControl/>
              <w:snapToGrid w:val="0"/>
              <w:jc w:val="center"/>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183</w:t>
            </w:r>
          </w:p>
        </w:tc>
        <w:tc>
          <w:tcPr>
            <w:tcW w:w="1317" w:type="dxa"/>
            <w:gridSpan w:val="2"/>
            <w:vAlign w:val="center"/>
          </w:tcPr>
          <w:p>
            <w:pPr>
              <w:widowControl/>
              <w:snapToGrid w:val="0"/>
              <w:jc w:val="center"/>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183</w:t>
            </w:r>
          </w:p>
        </w:tc>
        <w:tc>
          <w:tcPr>
            <w:tcW w:w="1466" w:type="dxa"/>
            <w:vAlign w:val="center"/>
          </w:tcPr>
          <w:p>
            <w:pPr>
              <w:widowControl/>
              <w:snapToGrid w:val="0"/>
              <w:jc w:val="center"/>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c>
          <w:tcPr>
            <w:tcW w:w="2196" w:type="dxa"/>
            <w:gridSpan w:val="3"/>
            <w:vAlign w:val="center"/>
          </w:tcPr>
          <w:p>
            <w:pPr>
              <w:widowControl/>
              <w:snapToGrid w:val="0"/>
              <w:jc w:val="center"/>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年度绩效目标</w:t>
            </w:r>
            <w:r>
              <w:rPr>
                <w:rFonts w:ascii="仿宋_GB2312" w:hAnsi="宋体" w:eastAsia="仿宋_GB2312" w:cs="仿宋_GB2312"/>
                <w:kern w:val="0"/>
                <w:sz w:val="21"/>
                <w:szCs w:val="21"/>
              </w:rPr>
              <w:t>1</w:t>
            </w:r>
          </w:p>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XX</w:t>
            </w:r>
            <w:r>
              <w:rPr>
                <w:rFonts w:hint="eastAsia" w:ascii="仿宋_GB2312" w:hAnsi="宋体" w:eastAsia="仿宋_GB2312" w:cs="仿宋_GB2312"/>
                <w:kern w:val="0"/>
                <w:sz w:val="21"/>
                <w:szCs w:val="21"/>
              </w:rPr>
              <w:t>分）</w:t>
            </w:r>
          </w:p>
        </w:tc>
        <w:tc>
          <w:tcPr>
            <w:tcW w:w="700" w:type="dxa"/>
            <w:vAlign w:val="center"/>
          </w:tcPr>
          <w:p>
            <w:pPr>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一级指标</w:t>
            </w:r>
          </w:p>
        </w:tc>
        <w:tc>
          <w:tcPr>
            <w:tcW w:w="1122" w:type="dxa"/>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二级指标</w:t>
            </w:r>
          </w:p>
        </w:tc>
        <w:tc>
          <w:tcPr>
            <w:tcW w:w="2636" w:type="dxa"/>
            <w:gridSpan w:val="3"/>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三级指标</w:t>
            </w:r>
          </w:p>
        </w:tc>
        <w:tc>
          <w:tcPr>
            <w:tcW w:w="1466" w:type="dxa"/>
            <w:vAlign w:val="center"/>
          </w:tcPr>
          <w:p>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年初目标值（</w:t>
            </w:r>
            <w:r>
              <w:rPr>
                <w:rFonts w:ascii="仿宋_GB2312" w:hAnsi="宋体" w:eastAsia="仿宋_GB2312" w:cs="仿宋_GB2312"/>
                <w:kern w:val="0"/>
                <w:sz w:val="21"/>
                <w:szCs w:val="21"/>
              </w:rPr>
              <w:t>A</w:t>
            </w:r>
            <w:r>
              <w:rPr>
                <w:rFonts w:hint="eastAsia" w:ascii="仿宋_GB2312" w:hAnsi="宋体" w:eastAsia="仿宋_GB2312" w:cs="仿宋_GB2312"/>
                <w:kern w:val="0"/>
                <w:sz w:val="21"/>
                <w:szCs w:val="21"/>
              </w:rPr>
              <w:t>）</w:t>
            </w:r>
          </w:p>
        </w:tc>
        <w:tc>
          <w:tcPr>
            <w:tcW w:w="1319" w:type="dxa"/>
            <w:gridSpan w:val="2"/>
            <w:vAlign w:val="center"/>
          </w:tcPr>
          <w:p>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实际完成值（</w:t>
            </w:r>
            <w:r>
              <w:rPr>
                <w:rFonts w:ascii="仿宋_GB2312" w:hAnsi="宋体" w:eastAsia="仿宋_GB2312" w:cs="仿宋_GB2312"/>
                <w:kern w:val="0"/>
                <w:sz w:val="21"/>
                <w:szCs w:val="21"/>
              </w:rPr>
              <w:t>B</w:t>
            </w:r>
            <w:r>
              <w:rPr>
                <w:rFonts w:hint="eastAsia" w:ascii="仿宋_GB2312" w:hAnsi="宋体" w:eastAsia="仿宋_GB2312" w:cs="仿宋_GB2312"/>
                <w:kern w:val="0"/>
                <w:sz w:val="21"/>
                <w:szCs w:val="21"/>
              </w:rPr>
              <w:t>）</w:t>
            </w:r>
          </w:p>
        </w:tc>
        <w:tc>
          <w:tcPr>
            <w:tcW w:w="877" w:type="dxa"/>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sz w:val="21"/>
                <w:szCs w:val="21"/>
              </w:rPr>
            </w:pPr>
          </w:p>
        </w:tc>
        <w:tc>
          <w:tcPr>
            <w:tcW w:w="700" w:type="dxa"/>
            <w:vMerge w:val="restart"/>
            <w:vAlign w:val="center"/>
          </w:tcPr>
          <w:p>
            <w:pPr>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产出指标</w:t>
            </w:r>
          </w:p>
        </w:tc>
        <w:tc>
          <w:tcPr>
            <w:tcW w:w="1122" w:type="dxa"/>
            <w:vMerge w:val="restart"/>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cs="仿宋_GB2312"/>
                <w:kern w:val="0"/>
                <w:sz w:val="21"/>
                <w:szCs w:val="21"/>
                <w:lang w:val="en-US" w:eastAsia="zh-CN"/>
              </w:rPr>
              <w:t>工作量化指标</w:t>
            </w:r>
          </w:p>
        </w:tc>
        <w:tc>
          <w:tcPr>
            <w:tcW w:w="2636" w:type="dxa"/>
            <w:gridSpan w:val="3"/>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完成国家队、省队集训任务</w:t>
            </w:r>
          </w:p>
        </w:tc>
        <w:tc>
          <w:tcPr>
            <w:tcW w:w="1466" w:type="dxa"/>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1-2次</w:t>
            </w:r>
          </w:p>
        </w:tc>
        <w:tc>
          <w:tcPr>
            <w:tcW w:w="1319" w:type="dxa"/>
            <w:gridSpan w:val="2"/>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5次</w:t>
            </w:r>
          </w:p>
        </w:tc>
        <w:tc>
          <w:tcPr>
            <w:tcW w:w="877" w:type="dxa"/>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28" w:type="dxa"/>
            <w:vMerge w:val="continue"/>
            <w:vAlign w:val="center"/>
          </w:tcPr>
          <w:p>
            <w:pPr>
              <w:snapToGrid w:val="0"/>
              <w:jc w:val="center"/>
              <w:rPr>
                <w:rFonts w:ascii="仿宋_GB2312" w:hAnsi="宋体" w:eastAsia="仿宋_GB2312"/>
                <w:kern w:val="0"/>
                <w:sz w:val="21"/>
                <w:szCs w:val="21"/>
              </w:rPr>
            </w:pPr>
          </w:p>
        </w:tc>
        <w:tc>
          <w:tcPr>
            <w:tcW w:w="700" w:type="dxa"/>
            <w:vMerge w:val="continue"/>
            <w:vAlign w:val="center"/>
          </w:tcPr>
          <w:p>
            <w:pPr>
              <w:snapToGrid w:val="0"/>
              <w:jc w:val="center"/>
              <w:rPr>
                <w:rFonts w:hint="eastAsia" w:ascii="仿宋_GB2312" w:hAnsi="宋体" w:eastAsia="仿宋_GB2312" w:cs="仿宋_GB2312"/>
                <w:kern w:val="0"/>
                <w:sz w:val="21"/>
                <w:szCs w:val="21"/>
              </w:rPr>
            </w:pPr>
          </w:p>
        </w:tc>
        <w:tc>
          <w:tcPr>
            <w:tcW w:w="1122" w:type="dxa"/>
            <w:vMerge w:val="continue"/>
            <w:vAlign w:val="center"/>
          </w:tcPr>
          <w:p>
            <w:pPr>
              <w:widowControl/>
              <w:snapToGrid w:val="0"/>
              <w:jc w:val="center"/>
              <w:rPr>
                <w:rFonts w:hint="eastAsia" w:ascii="仿宋_GB2312" w:hAnsi="宋体" w:eastAsia="仿宋_GB2312" w:cs="仿宋_GB2312"/>
                <w:kern w:val="0"/>
                <w:sz w:val="21"/>
                <w:szCs w:val="21"/>
                <w:lang w:val="en-US" w:eastAsia="zh-CN"/>
              </w:rPr>
            </w:pPr>
          </w:p>
        </w:tc>
        <w:tc>
          <w:tcPr>
            <w:tcW w:w="2636" w:type="dxa"/>
            <w:gridSpan w:val="3"/>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承办省级以以上乒乓球、羽毛球水上运动赛事活动</w:t>
            </w:r>
          </w:p>
        </w:tc>
        <w:tc>
          <w:tcPr>
            <w:tcW w:w="1466" w:type="dxa"/>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1-2项次</w:t>
            </w:r>
          </w:p>
        </w:tc>
        <w:tc>
          <w:tcPr>
            <w:tcW w:w="1319" w:type="dxa"/>
            <w:gridSpan w:val="2"/>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1次</w:t>
            </w:r>
          </w:p>
        </w:tc>
        <w:tc>
          <w:tcPr>
            <w:tcW w:w="877" w:type="dxa"/>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28" w:type="dxa"/>
            <w:vMerge w:val="continue"/>
            <w:vAlign w:val="center"/>
          </w:tcPr>
          <w:p>
            <w:pPr>
              <w:snapToGrid w:val="0"/>
              <w:jc w:val="center"/>
              <w:rPr>
                <w:rFonts w:ascii="仿宋_GB2312" w:hAnsi="宋体" w:eastAsia="仿宋_GB2312"/>
                <w:kern w:val="0"/>
                <w:sz w:val="21"/>
                <w:szCs w:val="21"/>
              </w:rPr>
            </w:pPr>
          </w:p>
        </w:tc>
        <w:tc>
          <w:tcPr>
            <w:tcW w:w="700" w:type="dxa"/>
            <w:vMerge w:val="continue"/>
            <w:vAlign w:val="center"/>
          </w:tcPr>
          <w:p>
            <w:pPr>
              <w:snapToGrid w:val="0"/>
              <w:jc w:val="center"/>
              <w:rPr>
                <w:rFonts w:hint="eastAsia" w:ascii="仿宋_GB2312" w:hAnsi="宋体" w:eastAsia="仿宋_GB2312" w:cs="仿宋_GB2312"/>
                <w:kern w:val="0"/>
                <w:sz w:val="21"/>
                <w:szCs w:val="21"/>
              </w:rPr>
            </w:pPr>
          </w:p>
        </w:tc>
        <w:tc>
          <w:tcPr>
            <w:tcW w:w="1122" w:type="dxa"/>
            <w:vMerge w:val="continue"/>
            <w:vAlign w:val="center"/>
          </w:tcPr>
          <w:p>
            <w:pPr>
              <w:widowControl/>
              <w:snapToGrid w:val="0"/>
              <w:jc w:val="center"/>
              <w:rPr>
                <w:rFonts w:hint="eastAsia" w:ascii="仿宋_GB2312" w:hAnsi="宋体" w:eastAsia="仿宋_GB2312" w:cs="仿宋_GB2312"/>
                <w:kern w:val="0"/>
                <w:sz w:val="21"/>
                <w:szCs w:val="21"/>
                <w:lang w:val="en-US" w:eastAsia="zh-CN"/>
              </w:rPr>
            </w:pPr>
          </w:p>
        </w:tc>
        <w:tc>
          <w:tcPr>
            <w:tcW w:w="2636" w:type="dxa"/>
            <w:gridSpan w:val="3"/>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参加省级以上乒乓球、羽毛球、水上赛事活动</w:t>
            </w:r>
          </w:p>
        </w:tc>
        <w:tc>
          <w:tcPr>
            <w:tcW w:w="1466" w:type="dxa"/>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6项次</w:t>
            </w:r>
          </w:p>
        </w:tc>
        <w:tc>
          <w:tcPr>
            <w:tcW w:w="1319" w:type="dxa"/>
            <w:gridSpan w:val="2"/>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9次</w:t>
            </w:r>
          </w:p>
        </w:tc>
        <w:tc>
          <w:tcPr>
            <w:tcW w:w="877" w:type="dxa"/>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28" w:type="dxa"/>
            <w:vMerge w:val="continue"/>
            <w:vAlign w:val="center"/>
          </w:tcPr>
          <w:p>
            <w:pPr>
              <w:snapToGrid w:val="0"/>
              <w:jc w:val="center"/>
              <w:rPr>
                <w:rFonts w:ascii="仿宋_GB2312" w:hAnsi="宋体" w:eastAsia="仿宋_GB2312"/>
                <w:kern w:val="0"/>
                <w:sz w:val="21"/>
                <w:szCs w:val="21"/>
              </w:rPr>
            </w:pPr>
          </w:p>
        </w:tc>
        <w:tc>
          <w:tcPr>
            <w:tcW w:w="700" w:type="dxa"/>
            <w:vMerge w:val="continue"/>
            <w:vAlign w:val="center"/>
          </w:tcPr>
          <w:p>
            <w:pPr>
              <w:snapToGrid w:val="0"/>
              <w:jc w:val="center"/>
              <w:rPr>
                <w:rFonts w:hint="eastAsia" w:ascii="仿宋_GB2312" w:hAnsi="宋体" w:eastAsia="仿宋_GB2312" w:cs="仿宋_GB2312"/>
                <w:kern w:val="0"/>
                <w:sz w:val="21"/>
                <w:szCs w:val="21"/>
              </w:rPr>
            </w:pPr>
          </w:p>
        </w:tc>
        <w:tc>
          <w:tcPr>
            <w:tcW w:w="1122" w:type="dxa"/>
            <w:vMerge w:val="continue"/>
            <w:vAlign w:val="center"/>
          </w:tcPr>
          <w:p>
            <w:pPr>
              <w:widowControl/>
              <w:snapToGrid w:val="0"/>
              <w:jc w:val="center"/>
              <w:rPr>
                <w:rFonts w:hint="eastAsia" w:ascii="仿宋_GB2312" w:hAnsi="宋体" w:eastAsia="仿宋_GB2312" w:cs="仿宋_GB2312"/>
                <w:kern w:val="0"/>
                <w:sz w:val="21"/>
                <w:szCs w:val="21"/>
                <w:lang w:val="en-US" w:eastAsia="zh-CN"/>
              </w:rPr>
            </w:pPr>
          </w:p>
        </w:tc>
        <w:tc>
          <w:tcPr>
            <w:tcW w:w="2636" w:type="dxa"/>
            <w:gridSpan w:val="3"/>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举办市级乒乓球、羽毛球、水上赛事活动</w:t>
            </w:r>
          </w:p>
        </w:tc>
        <w:tc>
          <w:tcPr>
            <w:tcW w:w="1466" w:type="dxa"/>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1项次</w:t>
            </w:r>
          </w:p>
        </w:tc>
        <w:tc>
          <w:tcPr>
            <w:tcW w:w="1319" w:type="dxa"/>
            <w:gridSpan w:val="2"/>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1次</w:t>
            </w:r>
          </w:p>
        </w:tc>
        <w:tc>
          <w:tcPr>
            <w:tcW w:w="877" w:type="dxa"/>
            <w:vAlign w:val="center"/>
          </w:tcPr>
          <w:p>
            <w:pPr>
              <w:widowControl/>
              <w:snapToGrid w:val="0"/>
              <w:jc w:val="center"/>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28" w:type="dxa"/>
            <w:vMerge w:val="continue"/>
            <w:vAlign w:val="center"/>
          </w:tcPr>
          <w:p>
            <w:pPr>
              <w:snapToGrid w:val="0"/>
              <w:jc w:val="center"/>
              <w:rPr>
                <w:rFonts w:ascii="仿宋_GB2312" w:hAnsi="宋体" w:eastAsia="仿宋_GB2312"/>
                <w:kern w:val="0"/>
                <w:sz w:val="21"/>
                <w:szCs w:val="21"/>
              </w:rPr>
            </w:pPr>
          </w:p>
        </w:tc>
        <w:tc>
          <w:tcPr>
            <w:tcW w:w="700" w:type="dxa"/>
            <w:vMerge w:val="continue"/>
            <w:vAlign w:val="center"/>
          </w:tcPr>
          <w:p>
            <w:pPr>
              <w:widowControl/>
              <w:snapToGrid w:val="0"/>
              <w:jc w:val="center"/>
              <w:rPr>
                <w:rFonts w:ascii="仿宋_GB2312" w:hAnsi="宋体" w:eastAsia="仿宋_GB2312"/>
                <w:kern w:val="0"/>
                <w:sz w:val="21"/>
                <w:szCs w:val="21"/>
              </w:rPr>
            </w:pPr>
          </w:p>
        </w:tc>
        <w:tc>
          <w:tcPr>
            <w:tcW w:w="1122" w:type="dxa"/>
            <w:vAlign w:val="center"/>
          </w:tcPr>
          <w:p>
            <w:pPr>
              <w:widowControl/>
              <w:snapToGrid w:val="0"/>
              <w:jc w:val="center"/>
              <w:rPr>
                <w:rFonts w:hint="eastAsia" w:ascii="仿宋_GB2312" w:hAnsi="宋体" w:eastAsia="仿宋_GB2312"/>
                <w:kern w:val="0"/>
                <w:sz w:val="21"/>
                <w:szCs w:val="21"/>
                <w:lang w:eastAsia="zh-CN"/>
              </w:rPr>
            </w:pPr>
            <w:r>
              <w:rPr>
                <w:rFonts w:hint="eastAsia" w:ascii="仿宋_GB2312" w:hAnsi="宋体" w:eastAsia="仿宋_GB2312" w:cs="仿宋_GB2312"/>
                <w:kern w:val="0"/>
                <w:sz w:val="21"/>
                <w:szCs w:val="21"/>
                <w:lang w:val="en-US" w:eastAsia="zh-CN"/>
              </w:rPr>
              <w:t>时效指标</w:t>
            </w:r>
          </w:p>
        </w:tc>
        <w:tc>
          <w:tcPr>
            <w:tcW w:w="2636" w:type="dxa"/>
            <w:gridSpan w:val="3"/>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赛事活动筹备及时有效</w:t>
            </w:r>
          </w:p>
        </w:tc>
        <w:tc>
          <w:tcPr>
            <w:tcW w:w="1466" w:type="dxa"/>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1-12月</w:t>
            </w:r>
          </w:p>
        </w:tc>
        <w:tc>
          <w:tcPr>
            <w:tcW w:w="1319" w:type="dxa"/>
            <w:gridSpan w:val="2"/>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12月前完成</w:t>
            </w:r>
          </w:p>
        </w:tc>
        <w:tc>
          <w:tcPr>
            <w:tcW w:w="877" w:type="dxa"/>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28" w:type="dxa"/>
            <w:vMerge w:val="continue"/>
            <w:vAlign w:val="center"/>
          </w:tcPr>
          <w:p>
            <w:pPr>
              <w:widowControl/>
              <w:snapToGrid w:val="0"/>
              <w:jc w:val="center"/>
              <w:rPr>
                <w:rFonts w:ascii="仿宋_GB2312" w:hAnsi="宋体" w:eastAsia="仿宋_GB2312"/>
                <w:kern w:val="0"/>
                <w:sz w:val="21"/>
                <w:szCs w:val="21"/>
              </w:rPr>
            </w:pPr>
          </w:p>
        </w:tc>
        <w:tc>
          <w:tcPr>
            <w:tcW w:w="700" w:type="dxa"/>
            <w:vMerge w:val="restart"/>
            <w:vAlign w:val="center"/>
          </w:tcPr>
          <w:p>
            <w:pPr>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效益指标</w:t>
            </w:r>
          </w:p>
        </w:tc>
        <w:tc>
          <w:tcPr>
            <w:tcW w:w="1122" w:type="dxa"/>
            <w:vMerge w:val="restart"/>
            <w:vAlign w:val="center"/>
          </w:tcPr>
          <w:p>
            <w:pPr>
              <w:widowControl/>
              <w:snapToGrid w:val="0"/>
              <w:jc w:val="center"/>
              <w:rPr>
                <w:rFonts w:hint="eastAsia"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社会效益指标</w:t>
            </w:r>
          </w:p>
          <w:p>
            <w:pPr>
              <w:widowControl/>
              <w:snapToGrid w:val="0"/>
              <w:jc w:val="center"/>
              <w:rPr>
                <w:rFonts w:ascii="仿宋_GB2312" w:hAnsi="宋体" w:eastAsia="仿宋_GB2312"/>
                <w:kern w:val="0"/>
                <w:sz w:val="21"/>
                <w:szCs w:val="21"/>
              </w:rPr>
            </w:pPr>
          </w:p>
        </w:tc>
        <w:tc>
          <w:tcPr>
            <w:tcW w:w="2636" w:type="dxa"/>
            <w:gridSpan w:val="3"/>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 xml:space="preserve">全年参与乒乓球、羽毛球、水上运动训练人次 </w:t>
            </w:r>
          </w:p>
        </w:tc>
        <w:tc>
          <w:tcPr>
            <w:tcW w:w="1466" w:type="dxa"/>
            <w:vAlign w:val="center"/>
          </w:tcPr>
          <w:p>
            <w:pPr>
              <w:widowControl/>
              <w:snapToGrid w:val="0"/>
              <w:jc w:val="center"/>
              <w:rPr>
                <w:rFonts w:hint="default" w:ascii="仿宋_GB2312" w:hAnsi="宋体" w:eastAsia="仿宋_GB2312"/>
                <w:kern w:val="0"/>
                <w:sz w:val="21"/>
                <w:szCs w:val="21"/>
                <w:lang w:val="en-US" w:eastAsia="zh-CN"/>
              </w:rPr>
            </w:pPr>
            <w:r>
              <w:rPr>
                <w:rFonts w:hint="eastAsia" w:ascii="宋体" w:hAnsi="宋体" w:eastAsia="宋体" w:cs="宋体"/>
                <w:kern w:val="0"/>
                <w:sz w:val="21"/>
                <w:szCs w:val="21"/>
              </w:rPr>
              <w:t>≧</w:t>
            </w:r>
            <w:r>
              <w:rPr>
                <w:rFonts w:hint="eastAsia" w:ascii="仿宋_GB2312" w:hAnsi="宋体" w:eastAsia="仿宋_GB2312"/>
                <w:kern w:val="0"/>
                <w:sz w:val="21"/>
                <w:szCs w:val="21"/>
                <w:lang w:val="en-US" w:eastAsia="zh-CN"/>
              </w:rPr>
              <w:t>15000人次</w:t>
            </w:r>
          </w:p>
        </w:tc>
        <w:tc>
          <w:tcPr>
            <w:tcW w:w="1319" w:type="dxa"/>
            <w:gridSpan w:val="2"/>
            <w:vAlign w:val="center"/>
          </w:tcPr>
          <w:p>
            <w:pPr>
              <w:widowControl/>
              <w:snapToGrid w:val="0"/>
              <w:jc w:val="center"/>
              <w:rPr>
                <w:rFonts w:hint="default" w:ascii="仿宋_GB2312" w:hAnsi="宋体" w:eastAsia="仿宋_GB2312"/>
                <w:kern w:val="0"/>
                <w:sz w:val="21"/>
                <w:szCs w:val="21"/>
                <w:lang w:val="en-US" w:eastAsia="zh-CN"/>
              </w:rPr>
            </w:pPr>
            <w:r>
              <w:rPr>
                <w:rFonts w:hint="eastAsia" w:ascii="宋体" w:hAnsi="宋体" w:eastAsia="宋体" w:cs="宋体"/>
                <w:kern w:val="0"/>
                <w:sz w:val="21"/>
                <w:szCs w:val="21"/>
              </w:rPr>
              <w:t>≧</w:t>
            </w:r>
            <w:r>
              <w:rPr>
                <w:rFonts w:hint="eastAsia" w:ascii="仿宋_GB2312" w:hAnsi="宋体" w:eastAsia="仿宋_GB2312"/>
                <w:kern w:val="0"/>
                <w:sz w:val="21"/>
                <w:szCs w:val="21"/>
                <w:lang w:val="en-US" w:eastAsia="zh-CN"/>
              </w:rPr>
              <w:t>18500人次</w:t>
            </w:r>
          </w:p>
        </w:tc>
        <w:tc>
          <w:tcPr>
            <w:tcW w:w="877" w:type="dxa"/>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8" w:type="dxa"/>
            <w:vMerge w:val="continue"/>
            <w:vAlign w:val="center"/>
          </w:tcPr>
          <w:p>
            <w:pPr>
              <w:widowControl/>
              <w:snapToGrid w:val="0"/>
              <w:jc w:val="center"/>
              <w:rPr>
                <w:rFonts w:ascii="仿宋_GB2312" w:hAnsi="宋体" w:eastAsia="仿宋_GB2312"/>
                <w:kern w:val="0"/>
                <w:sz w:val="21"/>
                <w:szCs w:val="21"/>
              </w:rPr>
            </w:pPr>
          </w:p>
        </w:tc>
        <w:tc>
          <w:tcPr>
            <w:tcW w:w="700" w:type="dxa"/>
            <w:vMerge w:val="continue"/>
            <w:vAlign w:val="center"/>
          </w:tcPr>
          <w:p>
            <w:pPr>
              <w:widowControl/>
              <w:snapToGrid w:val="0"/>
              <w:jc w:val="center"/>
              <w:rPr>
                <w:rFonts w:ascii="仿宋_GB2312" w:hAnsi="宋体" w:eastAsia="仿宋_GB2312"/>
                <w:kern w:val="0"/>
                <w:sz w:val="21"/>
                <w:szCs w:val="21"/>
              </w:rPr>
            </w:pPr>
          </w:p>
        </w:tc>
        <w:tc>
          <w:tcPr>
            <w:tcW w:w="1122" w:type="dxa"/>
            <w:vMerge w:val="continue"/>
            <w:vAlign w:val="center"/>
          </w:tcPr>
          <w:p>
            <w:pPr>
              <w:widowControl/>
              <w:snapToGrid w:val="0"/>
              <w:jc w:val="center"/>
              <w:rPr>
                <w:rFonts w:ascii="仿宋_GB2312" w:hAnsi="宋体" w:eastAsia="仿宋_GB2312"/>
                <w:kern w:val="0"/>
                <w:sz w:val="21"/>
                <w:szCs w:val="21"/>
              </w:rPr>
            </w:pPr>
          </w:p>
        </w:tc>
        <w:tc>
          <w:tcPr>
            <w:tcW w:w="2636" w:type="dxa"/>
            <w:gridSpan w:val="3"/>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全年参与乒乓球、羽毛球、水上运动的市民不断增加</w:t>
            </w:r>
          </w:p>
        </w:tc>
        <w:tc>
          <w:tcPr>
            <w:tcW w:w="1466" w:type="dxa"/>
            <w:vAlign w:val="center"/>
          </w:tcPr>
          <w:p>
            <w:pPr>
              <w:widowControl/>
              <w:snapToGrid w:val="0"/>
              <w:jc w:val="center"/>
              <w:rPr>
                <w:rFonts w:hint="default" w:ascii="仿宋_GB2312" w:hAnsi="宋体" w:eastAsia="仿宋_GB2312"/>
                <w:kern w:val="0"/>
                <w:sz w:val="21"/>
                <w:szCs w:val="21"/>
                <w:lang w:val="en-US"/>
              </w:rPr>
            </w:pPr>
            <w:r>
              <w:rPr>
                <w:rFonts w:hint="eastAsia" w:ascii="宋体" w:hAnsi="宋体" w:eastAsia="宋体" w:cs="宋体"/>
                <w:kern w:val="0"/>
                <w:sz w:val="21"/>
                <w:szCs w:val="21"/>
              </w:rPr>
              <w:t>≧</w:t>
            </w:r>
            <w:r>
              <w:rPr>
                <w:rFonts w:hint="eastAsia" w:ascii="仿宋_GB2312" w:hAnsi="宋体" w:eastAsia="仿宋_GB2312"/>
                <w:kern w:val="0"/>
                <w:sz w:val="21"/>
                <w:szCs w:val="21"/>
                <w:lang w:val="en-US" w:eastAsia="zh-CN"/>
              </w:rPr>
              <w:t>30000人次</w:t>
            </w:r>
          </w:p>
        </w:tc>
        <w:tc>
          <w:tcPr>
            <w:tcW w:w="1319" w:type="dxa"/>
            <w:gridSpan w:val="2"/>
            <w:vAlign w:val="center"/>
          </w:tcPr>
          <w:p>
            <w:pPr>
              <w:widowControl/>
              <w:snapToGrid w:val="0"/>
              <w:jc w:val="center"/>
              <w:rPr>
                <w:rFonts w:ascii="仿宋_GB2312" w:hAnsi="宋体" w:eastAsia="仿宋_GB2312"/>
                <w:kern w:val="0"/>
                <w:sz w:val="21"/>
                <w:szCs w:val="21"/>
              </w:rPr>
            </w:pPr>
            <w:r>
              <w:rPr>
                <w:rFonts w:hint="eastAsia" w:ascii="宋体" w:hAnsi="宋体" w:eastAsia="宋体" w:cs="宋体"/>
                <w:kern w:val="0"/>
                <w:sz w:val="21"/>
                <w:szCs w:val="21"/>
              </w:rPr>
              <w:t>≧</w:t>
            </w:r>
            <w:r>
              <w:rPr>
                <w:rFonts w:hint="eastAsia" w:ascii="仿宋_GB2312" w:hAnsi="宋体" w:eastAsia="仿宋_GB2312"/>
                <w:kern w:val="0"/>
                <w:sz w:val="21"/>
                <w:szCs w:val="21"/>
                <w:lang w:val="en-US" w:eastAsia="zh-CN"/>
              </w:rPr>
              <w:t>30000人次</w:t>
            </w:r>
          </w:p>
        </w:tc>
        <w:tc>
          <w:tcPr>
            <w:tcW w:w="877" w:type="dxa"/>
            <w:vAlign w:val="center"/>
          </w:tcPr>
          <w:p>
            <w:pPr>
              <w:widowControl/>
              <w:snapToGrid w:val="0"/>
              <w:jc w:val="center"/>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28" w:type="dxa"/>
            <w:vMerge w:val="continue"/>
            <w:vAlign w:val="center"/>
          </w:tcPr>
          <w:p>
            <w:pPr>
              <w:widowControl/>
              <w:snapToGrid w:val="0"/>
              <w:jc w:val="center"/>
              <w:rPr>
                <w:rFonts w:ascii="仿宋_GB2312" w:hAnsi="宋体" w:eastAsia="仿宋_GB2312"/>
                <w:kern w:val="0"/>
                <w:sz w:val="21"/>
                <w:szCs w:val="21"/>
              </w:rPr>
            </w:pPr>
          </w:p>
        </w:tc>
        <w:tc>
          <w:tcPr>
            <w:tcW w:w="700" w:type="dxa"/>
            <w:vMerge w:val="continue"/>
            <w:vAlign w:val="center"/>
          </w:tcPr>
          <w:p>
            <w:pPr>
              <w:widowControl/>
              <w:snapToGrid w:val="0"/>
              <w:jc w:val="center"/>
              <w:rPr>
                <w:rFonts w:ascii="仿宋_GB2312" w:hAnsi="宋体" w:eastAsia="仿宋_GB2312"/>
                <w:kern w:val="0"/>
                <w:sz w:val="21"/>
                <w:szCs w:val="21"/>
              </w:rPr>
            </w:pPr>
          </w:p>
        </w:tc>
        <w:tc>
          <w:tcPr>
            <w:tcW w:w="1122" w:type="dxa"/>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具体指标</w:t>
            </w:r>
          </w:p>
        </w:tc>
        <w:tc>
          <w:tcPr>
            <w:tcW w:w="2636" w:type="dxa"/>
            <w:gridSpan w:val="3"/>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打造“乒乓名城”，推进体育强市建设进程</w:t>
            </w:r>
          </w:p>
        </w:tc>
        <w:tc>
          <w:tcPr>
            <w:tcW w:w="1466" w:type="dxa"/>
            <w:vAlign w:val="center"/>
          </w:tcPr>
          <w:p>
            <w:pPr>
              <w:widowControl/>
              <w:snapToGrid w:val="0"/>
              <w:jc w:val="center"/>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≧15%</w:t>
            </w:r>
          </w:p>
        </w:tc>
        <w:tc>
          <w:tcPr>
            <w:tcW w:w="1319" w:type="dxa"/>
            <w:gridSpan w:val="2"/>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15%</w:t>
            </w:r>
          </w:p>
        </w:tc>
        <w:tc>
          <w:tcPr>
            <w:tcW w:w="877" w:type="dxa"/>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sz w:val="21"/>
                <w:szCs w:val="21"/>
              </w:rPr>
            </w:pPr>
          </w:p>
        </w:tc>
        <w:tc>
          <w:tcPr>
            <w:tcW w:w="700" w:type="dxa"/>
            <w:vMerge w:val="continue"/>
            <w:vAlign w:val="center"/>
          </w:tcPr>
          <w:p>
            <w:pPr>
              <w:widowControl/>
              <w:snapToGrid w:val="0"/>
              <w:jc w:val="center"/>
              <w:rPr>
                <w:rFonts w:ascii="仿宋_GB2312" w:hAnsi="宋体" w:eastAsia="仿宋_GB2312"/>
                <w:kern w:val="0"/>
                <w:sz w:val="21"/>
                <w:szCs w:val="21"/>
              </w:rPr>
            </w:pPr>
          </w:p>
        </w:tc>
        <w:tc>
          <w:tcPr>
            <w:tcW w:w="1122" w:type="dxa"/>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可持续影响指标</w:t>
            </w:r>
          </w:p>
        </w:tc>
        <w:tc>
          <w:tcPr>
            <w:tcW w:w="2636" w:type="dxa"/>
            <w:gridSpan w:val="3"/>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促进体教融合，传播健身健康理念，宣传黄石美好城市形象</w:t>
            </w:r>
          </w:p>
        </w:tc>
        <w:tc>
          <w:tcPr>
            <w:tcW w:w="1466" w:type="dxa"/>
            <w:vAlign w:val="center"/>
          </w:tcPr>
          <w:p>
            <w:pPr>
              <w:widowControl/>
              <w:snapToGrid w:val="0"/>
              <w:jc w:val="center"/>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≧15%</w:t>
            </w:r>
          </w:p>
        </w:tc>
        <w:tc>
          <w:tcPr>
            <w:tcW w:w="1319" w:type="dxa"/>
            <w:gridSpan w:val="2"/>
            <w:vAlign w:val="center"/>
          </w:tcPr>
          <w:p>
            <w:pPr>
              <w:widowControl/>
              <w:snapToGrid w:val="0"/>
              <w:jc w:val="center"/>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15%</w:t>
            </w:r>
          </w:p>
        </w:tc>
        <w:tc>
          <w:tcPr>
            <w:tcW w:w="877" w:type="dxa"/>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sz w:val="21"/>
                <w:szCs w:val="21"/>
              </w:rPr>
            </w:pPr>
          </w:p>
        </w:tc>
        <w:tc>
          <w:tcPr>
            <w:tcW w:w="700" w:type="dxa"/>
            <w:vMerge w:val="restart"/>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rPr>
              <w:t>满意度指标</w:t>
            </w:r>
          </w:p>
        </w:tc>
        <w:tc>
          <w:tcPr>
            <w:tcW w:w="1122" w:type="dxa"/>
            <w:vMerge w:val="restart"/>
            <w:vAlign w:val="center"/>
          </w:tcPr>
          <w:p>
            <w:pPr>
              <w:widowControl/>
              <w:snapToGrid w:val="0"/>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具体指标</w:t>
            </w:r>
          </w:p>
        </w:tc>
        <w:tc>
          <w:tcPr>
            <w:tcW w:w="2636" w:type="dxa"/>
            <w:gridSpan w:val="3"/>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lang w:val="en-US" w:eastAsia="zh-CN"/>
              </w:rPr>
              <w:t>国家队满意</w:t>
            </w:r>
          </w:p>
        </w:tc>
        <w:tc>
          <w:tcPr>
            <w:tcW w:w="1466" w:type="dxa"/>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≧95%</w:t>
            </w:r>
          </w:p>
        </w:tc>
        <w:tc>
          <w:tcPr>
            <w:tcW w:w="1319" w:type="dxa"/>
            <w:gridSpan w:val="2"/>
            <w:vAlign w:val="center"/>
          </w:tcPr>
          <w:p>
            <w:pPr>
              <w:widowControl/>
              <w:snapToGrid w:val="0"/>
              <w:jc w:val="center"/>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≧95%</w:t>
            </w:r>
          </w:p>
        </w:tc>
        <w:tc>
          <w:tcPr>
            <w:tcW w:w="877" w:type="dxa"/>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sz w:val="21"/>
                <w:szCs w:val="21"/>
              </w:rPr>
            </w:pPr>
          </w:p>
        </w:tc>
        <w:tc>
          <w:tcPr>
            <w:tcW w:w="700" w:type="dxa"/>
            <w:vMerge w:val="continue"/>
            <w:vAlign w:val="center"/>
          </w:tcPr>
          <w:p>
            <w:pPr>
              <w:widowControl/>
              <w:snapToGrid w:val="0"/>
              <w:jc w:val="center"/>
              <w:rPr>
                <w:rFonts w:ascii="仿宋_GB2312" w:hAnsi="宋体" w:eastAsia="仿宋_GB2312"/>
                <w:kern w:val="0"/>
                <w:sz w:val="21"/>
                <w:szCs w:val="21"/>
              </w:rPr>
            </w:pPr>
          </w:p>
        </w:tc>
        <w:tc>
          <w:tcPr>
            <w:tcW w:w="1122" w:type="dxa"/>
            <w:vMerge w:val="continue"/>
            <w:vAlign w:val="center"/>
          </w:tcPr>
          <w:p>
            <w:pPr>
              <w:widowControl/>
              <w:snapToGrid w:val="0"/>
              <w:jc w:val="center"/>
              <w:rPr>
                <w:rFonts w:hint="eastAsia" w:ascii="仿宋_GB2312" w:hAnsi="宋体" w:eastAsia="仿宋_GB2312" w:cs="仿宋_GB2312"/>
                <w:kern w:val="0"/>
                <w:sz w:val="21"/>
                <w:szCs w:val="21"/>
                <w:lang w:eastAsia="zh-CN"/>
              </w:rPr>
            </w:pPr>
          </w:p>
        </w:tc>
        <w:tc>
          <w:tcPr>
            <w:tcW w:w="2636" w:type="dxa"/>
            <w:gridSpan w:val="3"/>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lang w:val="en-US" w:eastAsia="zh-CN"/>
              </w:rPr>
              <w:t>公众满意</w:t>
            </w:r>
          </w:p>
        </w:tc>
        <w:tc>
          <w:tcPr>
            <w:tcW w:w="1466" w:type="dxa"/>
            <w:vAlign w:val="center"/>
          </w:tcPr>
          <w:p>
            <w:pPr>
              <w:widowControl/>
              <w:snapToGrid w:val="0"/>
              <w:jc w:val="center"/>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≧95%</w:t>
            </w:r>
          </w:p>
        </w:tc>
        <w:tc>
          <w:tcPr>
            <w:tcW w:w="1319" w:type="dxa"/>
            <w:gridSpan w:val="2"/>
            <w:vAlign w:val="center"/>
          </w:tcPr>
          <w:p>
            <w:pPr>
              <w:widowControl/>
              <w:snapToGrid w:val="0"/>
              <w:jc w:val="center"/>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≧95%</w:t>
            </w:r>
          </w:p>
        </w:tc>
        <w:tc>
          <w:tcPr>
            <w:tcW w:w="877" w:type="dxa"/>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年度绩效目标</w:t>
            </w:r>
            <w:r>
              <w:rPr>
                <w:rFonts w:ascii="仿宋_GB2312" w:hAnsi="宋体" w:eastAsia="仿宋_GB2312" w:cs="仿宋_GB2312"/>
                <w:kern w:val="0"/>
                <w:sz w:val="21"/>
                <w:szCs w:val="21"/>
              </w:rPr>
              <w:t>2</w:t>
            </w:r>
          </w:p>
        </w:tc>
        <w:tc>
          <w:tcPr>
            <w:tcW w:w="700" w:type="dxa"/>
            <w:vAlign w:val="center"/>
          </w:tcPr>
          <w:p>
            <w:pPr>
              <w:widowControl/>
              <w:snapToGrid w:val="0"/>
              <w:jc w:val="center"/>
              <w:rPr>
                <w:rFonts w:ascii="仿宋_GB2312" w:hAnsi="宋体" w:eastAsia="仿宋_GB2312"/>
                <w:kern w:val="0"/>
                <w:sz w:val="21"/>
                <w:szCs w:val="21"/>
              </w:rPr>
            </w:pPr>
          </w:p>
        </w:tc>
        <w:tc>
          <w:tcPr>
            <w:tcW w:w="1122" w:type="dxa"/>
            <w:vAlign w:val="center"/>
          </w:tcPr>
          <w:p>
            <w:pPr>
              <w:widowControl/>
              <w:snapToGrid w:val="0"/>
              <w:jc w:val="center"/>
              <w:rPr>
                <w:rFonts w:ascii="仿宋_GB2312" w:hAnsi="宋体" w:eastAsia="仿宋_GB2312"/>
                <w:kern w:val="0"/>
                <w:sz w:val="21"/>
                <w:szCs w:val="21"/>
              </w:rPr>
            </w:pPr>
          </w:p>
        </w:tc>
        <w:tc>
          <w:tcPr>
            <w:tcW w:w="2636" w:type="dxa"/>
            <w:gridSpan w:val="3"/>
            <w:vAlign w:val="center"/>
          </w:tcPr>
          <w:p>
            <w:pPr>
              <w:widowControl/>
              <w:snapToGrid w:val="0"/>
              <w:jc w:val="center"/>
              <w:rPr>
                <w:rFonts w:ascii="仿宋_GB2312" w:hAnsi="宋体" w:eastAsia="仿宋_GB2312"/>
                <w:kern w:val="0"/>
                <w:sz w:val="21"/>
                <w:szCs w:val="21"/>
              </w:rPr>
            </w:pPr>
          </w:p>
        </w:tc>
        <w:tc>
          <w:tcPr>
            <w:tcW w:w="1466" w:type="dxa"/>
            <w:vAlign w:val="center"/>
          </w:tcPr>
          <w:p>
            <w:pPr>
              <w:widowControl/>
              <w:snapToGrid w:val="0"/>
              <w:jc w:val="center"/>
              <w:rPr>
                <w:rFonts w:ascii="仿宋_GB2312" w:hAnsi="宋体" w:eastAsia="仿宋_GB2312"/>
                <w:kern w:val="0"/>
                <w:sz w:val="21"/>
                <w:szCs w:val="21"/>
              </w:rPr>
            </w:pPr>
          </w:p>
        </w:tc>
        <w:tc>
          <w:tcPr>
            <w:tcW w:w="1319" w:type="dxa"/>
            <w:gridSpan w:val="2"/>
            <w:vAlign w:val="center"/>
          </w:tcPr>
          <w:p>
            <w:pPr>
              <w:widowControl/>
              <w:snapToGrid w:val="0"/>
              <w:jc w:val="center"/>
              <w:rPr>
                <w:rFonts w:ascii="仿宋_GB2312" w:hAnsi="宋体" w:eastAsia="仿宋_GB2312"/>
                <w:kern w:val="0"/>
                <w:sz w:val="21"/>
                <w:szCs w:val="21"/>
              </w:rPr>
            </w:pPr>
          </w:p>
        </w:tc>
        <w:tc>
          <w:tcPr>
            <w:tcW w:w="877" w:type="dxa"/>
            <w:vAlign w:val="center"/>
          </w:tcPr>
          <w:p>
            <w:pPr>
              <w:widowControl/>
              <w:snapToGrid w:val="0"/>
              <w:jc w:val="center"/>
              <w:rPr>
                <w:rFonts w:ascii="仿宋_GB2312" w:hAnsi="宋体"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总分</w:t>
            </w:r>
          </w:p>
        </w:tc>
        <w:tc>
          <w:tcPr>
            <w:tcW w:w="8120" w:type="dxa"/>
            <w:gridSpan w:val="9"/>
            <w:vAlign w:val="center"/>
          </w:tcPr>
          <w:p>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jc w:val="center"/>
        </w:trPr>
        <w:tc>
          <w:tcPr>
            <w:tcW w:w="1528" w:type="dxa"/>
            <w:gridSpan w:val="2"/>
            <w:vAlign w:val="center"/>
          </w:tcPr>
          <w:p>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偏差大或</w:t>
            </w:r>
          </w:p>
          <w:p>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目标未完成</w:t>
            </w:r>
          </w:p>
          <w:p>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原因分析</w:t>
            </w:r>
          </w:p>
        </w:tc>
        <w:tc>
          <w:tcPr>
            <w:tcW w:w="7420" w:type="dxa"/>
            <w:gridSpan w:val="8"/>
            <w:vAlign w:val="center"/>
          </w:tcPr>
          <w:p>
            <w:pPr>
              <w:widowControl/>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完成年度目标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jc w:val="center"/>
        </w:trPr>
        <w:tc>
          <w:tcPr>
            <w:tcW w:w="1528" w:type="dxa"/>
            <w:gridSpan w:val="2"/>
            <w:vAlign w:val="center"/>
          </w:tcPr>
          <w:p>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改进措施及</w:t>
            </w:r>
          </w:p>
          <w:p>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结果应用方案</w:t>
            </w:r>
          </w:p>
        </w:tc>
        <w:tc>
          <w:tcPr>
            <w:tcW w:w="7420" w:type="dxa"/>
            <w:gridSpan w:val="8"/>
            <w:vAlign w:val="center"/>
          </w:tcPr>
          <w:p>
            <w:pPr>
              <w:widowControl/>
              <w:numPr>
                <w:ilvl w:val="0"/>
                <w:numId w:val="1"/>
              </w:numPr>
              <w:jc w:val="left"/>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大力推进“乒乓名城”建设进程，积极做好国家队集训接待工作，承办国际、国家级重大赛事活动，办好省乒校、省水校，持续开展招商引资工作。</w:t>
            </w:r>
          </w:p>
          <w:p>
            <w:pPr>
              <w:widowControl/>
              <w:numPr>
                <w:ilvl w:val="0"/>
                <w:numId w:val="1"/>
              </w:numPr>
              <w:jc w:val="left"/>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继续做好乒乓“进幼儿园、进校园、进社区”以及乒怡康球馆布点工作。</w:t>
            </w:r>
          </w:p>
          <w:p>
            <w:pPr>
              <w:widowControl/>
              <w:numPr>
                <w:ilvl w:val="0"/>
                <w:numId w:val="1"/>
              </w:numPr>
              <w:jc w:val="left"/>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深入与北大合作，打造“知名高校乒乓球邀请赛”、乒乓论坛等IP赛事活动。</w:t>
            </w: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552" w:firstLineChars="200"/>
        <w:rPr>
          <w:rFonts w:ascii="仿宋_GB2312" w:hAnsi="宋体" w:eastAsia="仿宋_GB2312"/>
          <w:kern w:val="0"/>
          <w:sz w:val="28"/>
          <w:szCs w:val="28"/>
        </w:rPr>
      </w:pPr>
      <w:r>
        <w:rPr>
          <w:rFonts w:ascii="仿宋_GB2312" w:hAnsi="宋体" w:eastAsia="仿宋_GB2312" w:cs="仿宋_GB2312"/>
          <w:kern w:val="0"/>
          <w:sz w:val="28"/>
          <w:szCs w:val="28"/>
        </w:rPr>
        <w:t>1.</w:t>
      </w:r>
      <w:r>
        <w:rPr>
          <w:rFonts w:hint="eastAsia" w:ascii="仿宋_GB2312" w:hAnsi="宋体" w:eastAsia="仿宋_GB2312" w:cs="仿宋_GB2312"/>
          <w:kern w:val="0"/>
          <w:sz w:val="28"/>
          <w:szCs w:val="28"/>
        </w:rPr>
        <w:t>预算执行情况口径：预算数为调整后财政资金总额（包括上年结余结转），执行数为资金使用单位财政资金实际支出数。涉及政府采购的项目支出要设置相关绩效指标反映政府采购管理情况。</w:t>
      </w:r>
    </w:p>
    <w:p>
      <w:pPr>
        <w:widowControl/>
        <w:ind w:firstLine="552" w:firstLineChars="200"/>
        <w:rPr>
          <w:rFonts w:ascii="仿宋_GB2312" w:hAnsi="宋体" w:eastAsia="仿宋_GB2312"/>
          <w:kern w:val="0"/>
          <w:sz w:val="28"/>
          <w:szCs w:val="28"/>
        </w:rPr>
      </w:pPr>
      <w:r>
        <w:rPr>
          <w:rFonts w:ascii="仿宋_GB2312" w:hAnsi="宋体" w:eastAsia="仿宋_GB2312" w:cs="仿宋_GB2312"/>
          <w:kern w:val="0"/>
          <w:sz w:val="28"/>
          <w:szCs w:val="28"/>
        </w:rPr>
        <w:t>2.</w:t>
      </w:r>
      <w:r>
        <w:rPr>
          <w:rFonts w:hint="eastAsia" w:ascii="仿宋_GB2312" w:hAnsi="宋体" w:eastAsia="仿宋_GB2312" w:cs="仿宋_GB2312"/>
          <w:kern w:val="0"/>
          <w:sz w:val="28"/>
          <w:szCs w:val="28"/>
        </w:rPr>
        <w:t>定量指标完成数汇总原则：绝对值直接累加计算，相对值按照资金额度加权平均计算。定量指标计分原则：正向指标（即目标值为≥</w:t>
      </w:r>
      <w:r>
        <w:rPr>
          <w:rFonts w:ascii="仿宋_GB2312" w:hAnsi="宋体" w:eastAsia="仿宋_GB2312" w:cs="仿宋_GB2312"/>
          <w:kern w:val="0"/>
          <w:sz w:val="28"/>
          <w:szCs w:val="28"/>
        </w:rPr>
        <w:t>X,</w:t>
      </w:r>
      <w:r>
        <w:rPr>
          <w:rFonts w:hint="eastAsia" w:ascii="仿宋_GB2312" w:hAnsi="宋体" w:eastAsia="仿宋_GB2312" w:cs="仿宋_GB2312"/>
          <w:kern w:val="0"/>
          <w:sz w:val="28"/>
          <w:szCs w:val="28"/>
        </w:rPr>
        <w:t>得分</w:t>
      </w:r>
      <w:r>
        <w:rPr>
          <w:rFonts w:ascii="仿宋_GB2312" w:hAnsi="宋体" w:eastAsia="仿宋_GB2312" w:cs="仿宋_GB2312"/>
          <w:kern w:val="0"/>
          <w:sz w:val="28"/>
          <w:szCs w:val="28"/>
        </w:rPr>
        <w:t>=</w:t>
      </w:r>
      <w:r>
        <w:rPr>
          <w:rFonts w:hint="eastAsia" w:ascii="仿宋_GB2312" w:hAnsi="宋体" w:eastAsia="仿宋_GB2312" w:cs="仿宋_GB2312"/>
          <w:kern w:val="0"/>
          <w:sz w:val="28"/>
          <w:szCs w:val="28"/>
        </w:rPr>
        <w:t>权重</w:t>
      </w:r>
      <w:r>
        <w:rPr>
          <w:rFonts w:ascii="仿宋_GB2312" w:hAnsi="宋体" w:eastAsia="仿宋_GB2312" w:cs="仿宋_GB2312"/>
          <w:kern w:val="0"/>
          <w:sz w:val="28"/>
          <w:szCs w:val="28"/>
        </w:rPr>
        <w:t>*B/A</w:t>
      </w:r>
      <w:r>
        <w:rPr>
          <w:rFonts w:hint="eastAsia" w:ascii="仿宋_GB2312" w:hAnsi="宋体" w:eastAsia="仿宋_GB2312" w:cs="仿宋_GB2312"/>
          <w:kern w:val="0"/>
          <w:sz w:val="28"/>
          <w:szCs w:val="28"/>
        </w:rPr>
        <w:t>），反向指标（即目标值为≤</w:t>
      </w:r>
      <w:r>
        <w:rPr>
          <w:rFonts w:ascii="仿宋_GB2312" w:hAnsi="宋体" w:eastAsia="仿宋_GB2312" w:cs="仿宋_GB2312"/>
          <w:kern w:val="0"/>
          <w:sz w:val="28"/>
          <w:szCs w:val="28"/>
        </w:rPr>
        <w:t>X</w:t>
      </w:r>
      <w:r>
        <w:rPr>
          <w:rFonts w:hint="eastAsia" w:ascii="仿宋_GB2312" w:hAnsi="宋体" w:eastAsia="仿宋_GB2312" w:cs="仿宋_GB2312"/>
          <w:kern w:val="0"/>
          <w:sz w:val="28"/>
          <w:szCs w:val="28"/>
        </w:rPr>
        <w:t>，得分</w:t>
      </w:r>
      <w:r>
        <w:rPr>
          <w:rFonts w:ascii="仿宋_GB2312" w:hAnsi="宋体" w:eastAsia="仿宋_GB2312" w:cs="仿宋_GB2312"/>
          <w:kern w:val="0"/>
          <w:sz w:val="28"/>
          <w:szCs w:val="28"/>
        </w:rPr>
        <w:t>=</w:t>
      </w:r>
      <w:r>
        <w:rPr>
          <w:rFonts w:hint="eastAsia" w:ascii="仿宋_GB2312" w:hAnsi="宋体" w:eastAsia="仿宋_GB2312" w:cs="仿宋_GB2312"/>
          <w:kern w:val="0"/>
          <w:sz w:val="28"/>
          <w:szCs w:val="28"/>
        </w:rPr>
        <w:t>权重</w:t>
      </w:r>
      <w:r>
        <w:rPr>
          <w:rFonts w:ascii="仿宋_GB2312" w:hAnsi="宋体" w:eastAsia="仿宋_GB2312" w:cs="仿宋_GB2312"/>
          <w:kern w:val="0"/>
          <w:sz w:val="28"/>
          <w:szCs w:val="28"/>
        </w:rPr>
        <w:t>*A/B）</w:t>
      </w:r>
      <w:r>
        <w:rPr>
          <w:rFonts w:hint="eastAsia" w:ascii="仿宋_GB2312" w:hAnsi="宋体" w:eastAsia="仿宋_GB2312" w:cs="仿宋_GB2312"/>
          <w:kern w:val="0"/>
          <w:sz w:val="28"/>
          <w:szCs w:val="28"/>
        </w:rPr>
        <w:t>，得分不得突破权重总额。定量指标先汇总完成数，再计算得分。</w:t>
      </w:r>
    </w:p>
    <w:p>
      <w:pPr>
        <w:widowControl/>
        <w:ind w:firstLine="552" w:firstLineChars="200"/>
        <w:rPr>
          <w:rFonts w:ascii="仿宋_GB2312" w:hAnsi="宋体" w:eastAsia="仿宋_GB2312"/>
          <w:kern w:val="0"/>
          <w:sz w:val="28"/>
          <w:szCs w:val="28"/>
        </w:rPr>
      </w:pPr>
      <w:r>
        <w:rPr>
          <w:rFonts w:ascii="仿宋_GB2312" w:hAnsi="宋体" w:eastAsia="仿宋_GB2312" w:cs="仿宋_GB2312"/>
          <w:kern w:val="0"/>
          <w:sz w:val="28"/>
          <w:szCs w:val="28"/>
        </w:rPr>
        <w:t>3.</w:t>
      </w:r>
      <w:r>
        <w:rPr>
          <w:rFonts w:hint="eastAsia" w:ascii="仿宋_GB2312" w:hAnsi="宋体" w:eastAsia="仿宋_GB2312" w:cs="仿宋_GB2312"/>
          <w:kern w:val="0"/>
          <w:sz w:val="28"/>
          <w:szCs w:val="28"/>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sz w:val="28"/>
          <w:szCs w:val="28"/>
        </w:rPr>
        <w:t>100-80%</w:t>
      </w:r>
      <w:r>
        <w:rPr>
          <w:rFonts w:hint="eastAsia" w:ascii="仿宋_GB2312" w:hAnsi="宋体" w:eastAsia="仿宋_GB2312" w:cs="仿宋_GB2312"/>
          <w:kern w:val="0"/>
          <w:sz w:val="28"/>
          <w:szCs w:val="28"/>
        </w:rPr>
        <w:t>（含</w:t>
      </w:r>
      <w:r>
        <w:rPr>
          <w:rFonts w:ascii="仿宋_GB2312" w:hAnsi="宋体" w:eastAsia="仿宋_GB2312" w:cs="仿宋_GB2312"/>
          <w:kern w:val="0"/>
          <w:sz w:val="28"/>
          <w:szCs w:val="28"/>
        </w:rPr>
        <w:t>80%</w:t>
      </w:r>
      <w:r>
        <w:rPr>
          <w:rFonts w:hint="eastAsia" w:ascii="仿宋_GB2312" w:hAnsi="宋体" w:eastAsia="仿宋_GB2312" w:cs="仿宋_GB2312"/>
          <w:kern w:val="0"/>
          <w:sz w:val="28"/>
          <w:szCs w:val="28"/>
        </w:rPr>
        <w:t>）、</w:t>
      </w:r>
      <w:r>
        <w:rPr>
          <w:rFonts w:ascii="仿宋_GB2312" w:hAnsi="宋体" w:eastAsia="仿宋_GB2312" w:cs="仿宋_GB2312"/>
          <w:kern w:val="0"/>
          <w:sz w:val="28"/>
          <w:szCs w:val="28"/>
        </w:rPr>
        <w:t>80-50%</w:t>
      </w:r>
      <w:r>
        <w:rPr>
          <w:rFonts w:hint="eastAsia" w:ascii="仿宋_GB2312" w:hAnsi="宋体" w:eastAsia="仿宋_GB2312" w:cs="仿宋_GB2312"/>
          <w:kern w:val="0"/>
          <w:sz w:val="28"/>
          <w:szCs w:val="28"/>
        </w:rPr>
        <w:t>（含</w:t>
      </w:r>
      <w:r>
        <w:rPr>
          <w:rFonts w:ascii="仿宋_GB2312" w:hAnsi="宋体" w:eastAsia="仿宋_GB2312" w:cs="仿宋_GB2312"/>
          <w:kern w:val="0"/>
          <w:sz w:val="28"/>
          <w:szCs w:val="28"/>
        </w:rPr>
        <w:t>50%</w:t>
      </w:r>
      <w:r>
        <w:rPr>
          <w:rFonts w:hint="eastAsia" w:ascii="仿宋_GB2312" w:hAnsi="宋体" w:eastAsia="仿宋_GB2312" w:cs="仿宋_GB2312"/>
          <w:kern w:val="0"/>
          <w:sz w:val="28"/>
          <w:szCs w:val="28"/>
        </w:rPr>
        <w:t>）、</w:t>
      </w:r>
      <w:r>
        <w:rPr>
          <w:rFonts w:ascii="仿宋_GB2312" w:hAnsi="宋体" w:eastAsia="仿宋_GB2312" w:cs="仿宋_GB2312"/>
          <w:kern w:val="0"/>
          <w:sz w:val="28"/>
          <w:szCs w:val="28"/>
        </w:rPr>
        <w:t>50-0%</w:t>
      </w:r>
      <w:r>
        <w:rPr>
          <w:rFonts w:hint="eastAsia" w:ascii="仿宋_GB2312" w:hAnsi="宋体" w:eastAsia="仿宋_GB2312" w:cs="仿宋_GB2312"/>
          <w:kern w:val="0"/>
          <w:sz w:val="28"/>
          <w:szCs w:val="28"/>
        </w:rPr>
        <w:t>合理确定分值。汇总时，以资金额度为权重，对分值进行加权平均计算。</w:t>
      </w:r>
    </w:p>
    <w:p>
      <w:pPr>
        <w:ind w:firstLine="552" w:firstLineChars="200"/>
        <w:rPr>
          <w:rFonts w:ascii="仿宋_GB2312" w:hAnsi="宋体" w:eastAsia="仿宋_GB2312" w:cs="仿宋_GB2312"/>
          <w:kern w:val="0"/>
          <w:sz w:val="28"/>
          <w:szCs w:val="28"/>
        </w:rPr>
      </w:pPr>
      <w:r>
        <w:rPr>
          <w:rFonts w:ascii="仿宋_GB2312" w:hAnsi="宋体" w:eastAsia="仿宋_GB2312" w:cs="仿宋_GB2312"/>
          <w:kern w:val="0"/>
          <w:sz w:val="28"/>
          <w:szCs w:val="28"/>
        </w:rPr>
        <w:t>4.</w:t>
      </w:r>
      <w:r>
        <w:rPr>
          <w:rFonts w:hint="eastAsia" w:ascii="仿宋_GB2312" w:hAnsi="宋体" w:eastAsia="仿宋_GB2312" w:cs="仿宋_GB2312"/>
          <w:kern w:val="0"/>
          <w:sz w:val="28"/>
          <w:szCs w:val="28"/>
        </w:rPr>
        <w:t>基于经济性和必要性等因素考虑，满意度指标暂可不作为必评指标。</w:t>
      </w:r>
    </w:p>
    <w:p>
      <w:pPr>
        <w:ind w:firstLine="552" w:firstLineChars="200"/>
        <w:rPr>
          <w:rFonts w:ascii="仿宋_GB2312" w:hAnsi="宋体" w:eastAsia="仿宋_GB2312" w:cs="仿宋_GB2312"/>
          <w:kern w:val="0"/>
          <w:sz w:val="28"/>
          <w:szCs w:val="28"/>
        </w:rPr>
      </w:pPr>
      <w:r>
        <w:rPr>
          <w:rFonts w:hint="eastAsia" w:ascii="仿宋_GB2312" w:hAnsi="宋体" w:eastAsia="仿宋_GB2312" w:cs="仿宋_GB2312"/>
          <w:kern w:val="0"/>
          <w:sz w:val="28"/>
          <w:szCs w:val="28"/>
        </w:rPr>
        <w:t>5.涉及政府采购的项目支出应设置相关政府采购指标。</w:t>
      </w:r>
    </w:p>
    <w:p>
      <w:pPr>
        <w:widowControl/>
        <w:ind w:firstLine="552"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6.本部门单位自评项目较多的亦可自行设计封面，请主要领导在封面上签字并加盖公章。</w:t>
      </w:r>
    </w:p>
    <w:p>
      <w:pPr>
        <w:rPr>
          <w:rFonts w:hint="eastAsia" w:ascii="仿宋" w:hAnsi="仿宋" w:eastAsia="仿宋" w:cs="仿宋"/>
          <w:sz w:val="28"/>
          <w:szCs w:val="28"/>
        </w:rPr>
      </w:pPr>
    </w:p>
    <w:p/>
    <w:p/>
    <w:sectPr>
      <w:headerReference r:id="rId3" w:type="default"/>
      <w:footerReference r:id="rId4" w:type="default"/>
      <w:pgSz w:w="11906" w:h="16838"/>
      <w:pgMar w:top="2098" w:right="1474" w:bottom="1985" w:left="158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FCB4589-C6B9-4391-86B3-A8A3C1062353}"/>
  </w:font>
  <w:font w:name="黑体">
    <w:panose1 w:val="02010609060101010101"/>
    <w:charset w:val="86"/>
    <w:family w:val="auto"/>
    <w:pitch w:val="default"/>
    <w:sig w:usb0="800002BF" w:usb1="38CF7CFA" w:usb2="00000016" w:usb3="00000000" w:csb0="00040001" w:csb1="00000000"/>
    <w:embedRegular r:id="rId2" w:fontKey="{E8F5E21A-DF31-42F7-992B-69B5B5BB26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918003C-5607-4E94-858F-09D820FED419}"/>
  </w:font>
  <w:font w:name="仿宋">
    <w:panose1 w:val="02010609060101010101"/>
    <w:charset w:val="86"/>
    <w:family w:val="auto"/>
    <w:pitch w:val="default"/>
    <w:sig w:usb0="800002BF" w:usb1="38CF7CFA" w:usb2="00000016" w:usb3="00000000" w:csb0="00040001" w:csb1="00000000"/>
    <w:embedRegular r:id="rId4" w:fontKey="{018F9B79-35AF-40A1-BBFA-F9CE60B72756}"/>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5" w:fontKey="{0DE9A086-A822-4ADD-AD58-FB56B7198DD8}"/>
  </w:font>
  <w:font w:name="楷体_GB2312">
    <w:altName w:val="楷体"/>
    <w:panose1 w:val="02010609030101010101"/>
    <w:charset w:val="86"/>
    <w:family w:val="auto"/>
    <w:pitch w:val="default"/>
    <w:sig w:usb0="00000000" w:usb1="00000000" w:usb2="00000000" w:usb3="00000000" w:csb0="00040000" w:csb1="00000000"/>
    <w:embedRegular r:id="rId6" w:fontKey="{7533D7A8-AEC8-4972-A79A-3136DF69D876}"/>
  </w:font>
  <w:font w:name="楷体">
    <w:panose1 w:val="02010609060101010101"/>
    <w:charset w:val="86"/>
    <w:family w:val="auto"/>
    <w:pitch w:val="default"/>
    <w:sig w:usb0="800002BF" w:usb1="38CF7CFA" w:usb2="00000016" w:usb3="00000000" w:csb0="00040001" w:csb1="00000000"/>
    <w:embedRegular r:id="rId7" w:fontKey="{9D86CCEA-DA8A-4DD5-9CCB-56C6C0F10EA7}"/>
  </w:font>
  <w:font w:name="方正楷体_GB2312">
    <w:panose1 w:val="02000000000000000000"/>
    <w:charset w:val="86"/>
    <w:family w:val="auto"/>
    <w:pitch w:val="default"/>
    <w:sig w:usb0="A00002BF" w:usb1="184F6CFA" w:usb2="00000012" w:usb3="00000000" w:csb0="00040001" w:csb1="00000000"/>
    <w:embedRegular r:id="rId8" w:fontKey="{2C2CE6B2-186B-4F88-99A1-1DC5E3A922D5}"/>
  </w:font>
  <w:font w:name="仿宋_GB2312">
    <w:altName w:val="仿宋"/>
    <w:panose1 w:val="02010609030101010101"/>
    <w:charset w:val="86"/>
    <w:family w:val="auto"/>
    <w:pitch w:val="default"/>
    <w:sig w:usb0="00000000" w:usb1="00000000" w:usb2="00000000" w:usb3="00000000" w:csb0="00040000" w:csb1="00000000"/>
    <w:embedRegular r:id="rId9" w:fontKey="{C78F2BF7-9762-453C-BE11-373BFAD1684E}"/>
  </w:font>
  <w:font w:name="方正大标宋简体">
    <w:panose1 w:val="02000000000000000000"/>
    <w:charset w:val="86"/>
    <w:family w:val="auto"/>
    <w:pitch w:val="default"/>
    <w:sig w:usb0="A00002BF" w:usb1="184F6CFA" w:usb2="00000012" w:usb3="00000000" w:csb0="00040001" w:csb1="00000000"/>
    <w:embedRegular r:id="rId10" w:fontKey="{2004B27E-1672-4A2F-8DD6-70FF980DA9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Ansi="仿宋"/>
        <w:sz w:val="28"/>
        <w:szCs w:val="28"/>
      </w:rPr>
    </w:pPr>
    <w:r>
      <w:rPr>
        <w:rFonts w:hAnsi="仿宋"/>
        <w:sz w:val="28"/>
        <w:szCs w:val="28"/>
      </w:rPr>
      <w:fldChar w:fldCharType="begin"/>
    </w:r>
    <w:r>
      <w:rPr>
        <w:rFonts w:hAnsi="仿宋"/>
        <w:sz w:val="28"/>
        <w:szCs w:val="28"/>
      </w:rPr>
      <w:instrText xml:space="preserve">PAGE   \* MERGEFORMAT</w:instrText>
    </w:r>
    <w:r>
      <w:rPr>
        <w:rFonts w:hAnsi="仿宋"/>
        <w:sz w:val="28"/>
        <w:szCs w:val="28"/>
      </w:rPr>
      <w:fldChar w:fldCharType="separate"/>
    </w:r>
    <w:r>
      <w:rPr>
        <w:rFonts w:hAnsi="仿宋"/>
        <w:sz w:val="28"/>
        <w:szCs w:val="28"/>
        <w:lang w:val="zh-CN"/>
      </w:rPr>
      <w:t>2</w:t>
    </w:r>
    <w:r>
      <w:rPr>
        <w:rFonts w:hAnsi="仿宋"/>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6A90A"/>
    <w:multiLevelType w:val="singleLevel"/>
    <w:tmpl w:val="2CC6A9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NmMwY2FjMGZmZjNlNzkyMzRmNWVlYzg0MzEwOTUifQ=="/>
  </w:docVars>
  <w:rsids>
    <w:rsidRoot w:val="588C0DAB"/>
    <w:rsid w:val="588C0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Calibri" w:eastAsia="仿宋"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rFonts w:ascii="等线" w:hAnsi="等线" w:eastAsia="等线" w:cs="黑体"/>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rFonts w:ascii="等线" w:hAnsi="等线" w:eastAsia="等线"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2023-07-24T03:24:00Z</dcterms:created>
  <dc:creator>WPS_1638514496</dc:creator>
  <cp:lastModifiedBy>WPS_1638514496</cp:lastModifiedBy>
  <dcterms:modified xsi:type="dcterms:W3CDTF">2023-07-24T03:25:21Z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D2439F481C2F47A8AF5CEC55B2ED2F68_11</vt:lpwstr>
  </property>
</Properties>
</file>