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杭州东路社区全民健身场地技术参数要求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20"/>
        <w:gridCol w:w="5029"/>
        <w:gridCol w:w="83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84"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120"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工程（货物）名称</w:t>
            </w:r>
          </w:p>
        </w:tc>
        <w:tc>
          <w:tcPr>
            <w:tcW w:w="5029"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具体参数</w:t>
            </w:r>
          </w:p>
        </w:tc>
        <w:tc>
          <w:tcPr>
            <w:tcW w:w="837"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数量</w:t>
            </w:r>
          </w:p>
        </w:tc>
        <w:tc>
          <w:tcPr>
            <w:tcW w:w="852"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12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硅PU地面</w:t>
            </w:r>
          </w:p>
        </w:tc>
        <w:tc>
          <w:tcPr>
            <w:tcW w:w="5029" w:type="dxa"/>
            <w:vAlign w:val="center"/>
          </w:tcPr>
          <w:p>
            <w:pPr>
              <w:numPr>
                <w:ilvl w:val="0"/>
                <w:numId w:val="0"/>
              </w:numPr>
              <w:jc w:val="left"/>
              <w:rPr>
                <w:rFonts w:hint="eastAsia"/>
                <w:lang w:val="en-US" w:eastAsia="zh-CN"/>
              </w:rPr>
            </w:pPr>
            <w:r>
              <w:rPr>
                <w:rFonts w:hint="eastAsia"/>
                <w:lang w:val="en-US" w:eastAsia="zh-CN"/>
              </w:rPr>
              <w:t>1、所供材料须具备国家体育用品质量监督检验中心出具的检测报告；</w:t>
            </w:r>
          </w:p>
          <w:p>
            <w:pPr>
              <w:pStyle w:val="2"/>
              <w:ind w:left="0" w:leftChars="0" w:firstLine="0" w:firstLineChars="0"/>
              <w:rPr>
                <w:rFonts w:hint="default"/>
                <w:lang w:val="en-US" w:eastAsia="zh-CN"/>
              </w:rPr>
            </w:pPr>
            <w:r>
              <w:rPr>
                <w:rFonts w:hint="eastAsia"/>
                <w:lang w:val="en-US" w:eastAsia="zh-CN"/>
              </w:rPr>
              <w:t>2、所供材料须具通</w:t>
            </w:r>
            <w:r>
              <w:rPr>
                <w:rFonts w:hint="default"/>
                <w:lang w:val="en-US" w:eastAsia="zh-CN"/>
              </w:rPr>
              <w:t>过NSCC认证</w:t>
            </w:r>
            <w:r>
              <w:rPr>
                <w:rFonts w:hint="eastAsia"/>
                <w:lang w:val="en-US" w:eastAsia="zh-CN"/>
              </w:rPr>
              <w:t>，并提供相关证明材料</w:t>
            </w:r>
          </w:p>
        </w:tc>
        <w:tc>
          <w:tcPr>
            <w:tcW w:w="83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608平方米</w:t>
            </w:r>
          </w:p>
        </w:tc>
        <w:tc>
          <w:tcPr>
            <w:tcW w:w="852"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68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12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室外移动篮球架</w:t>
            </w:r>
          </w:p>
        </w:tc>
        <w:tc>
          <w:tcPr>
            <w:tcW w:w="5029" w:type="dxa"/>
            <w:vAlign w:val="center"/>
          </w:tcPr>
          <w:p>
            <w:pPr>
              <w:numPr>
                <w:ilvl w:val="0"/>
                <w:numId w:val="0"/>
              </w:numPr>
              <w:jc w:val="left"/>
              <w:rPr>
                <w:rFonts w:hint="eastAsia"/>
                <w:lang w:val="en-US" w:eastAsia="zh-CN"/>
              </w:rPr>
            </w:pPr>
            <w:r>
              <w:rPr>
                <w:rFonts w:hint="eastAsia"/>
                <w:lang w:val="en-US" w:eastAsia="zh-CN"/>
              </w:rPr>
              <w:t>器材尺寸符合《健身器材 室外健身器材的安全 通用标准》（GB19272-2011）要求</w:t>
            </w:r>
          </w:p>
          <w:p>
            <w:pPr>
              <w:numPr>
                <w:ilvl w:val="0"/>
                <w:numId w:val="0"/>
              </w:numPr>
              <w:jc w:val="left"/>
              <w:rPr>
                <w:rFonts w:hint="eastAsia"/>
                <w:lang w:val="en-US" w:eastAsia="zh-CN"/>
              </w:rPr>
            </w:pPr>
            <w:r>
              <w:rPr>
                <w:rFonts w:hint="eastAsia"/>
                <w:lang w:val="en-US" w:eastAsia="zh-CN"/>
              </w:rPr>
              <w:t>1、器材应符合GB19272-2011标准要求</w:t>
            </w:r>
          </w:p>
          <w:p>
            <w:pPr>
              <w:numPr>
                <w:ilvl w:val="0"/>
                <w:numId w:val="0"/>
              </w:numPr>
              <w:jc w:val="left"/>
              <w:rPr>
                <w:rFonts w:hint="eastAsia"/>
                <w:lang w:val="en-US" w:eastAsia="zh-CN"/>
              </w:rPr>
            </w:pPr>
            <w:r>
              <w:rPr>
                <w:rFonts w:hint="eastAsia"/>
                <w:lang w:val="en-US" w:eastAsia="zh-CN"/>
              </w:rPr>
              <w:t>2、篮架伸臂1850mm,篮圈上沿距地面3050mm。</w:t>
            </w:r>
          </w:p>
          <w:p>
            <w:pPr>
              <w:numPr>
                <w:ilvl w:val="0"/>
                <w:numId w:val="0"/>
              </w:numPr>
              <w:jc w:val="left"/>
              <w:rPr>
                <w:rFonts w:hint="eastAsia"/>
                <w:lang w:val="en-US" w:eastAsia="zh-CN"/>
              </w:rPr>
            </w:pPr>
            <w:r>
              <w:rPr>
                <w:rFonts w:hint="eastAsia"/>
                <w:lang w:val="en-US" w:eastAsia="zh-CN"/>
              </w:rPr>
              <w:t>3、篮球板采用SMC篮板。</w:t>
            </w:r>
          </w:p>
          <w:p>
            <w:pPr>
              <w:numPr>
                <w:ilvl w:val="0"/>
                <w:numId w:val="0"/>
              </w:numPr>
              <w:jc w:val="left"/>
              <w:rPr>
                <w:rFonts w:hint="eastAsia"/>
                <w:lang w:val="en-US" w:eastAsia="zh-CN"/>
              </w:rPr>
            </w:pPr>
            <w:r>
              <w:rPr>
                <w:rFonts w:hint="eastAsia"/>
                <w:lang w:val="en-US" w:eastAsia="zh-CN"/>
              </w:rPr>
              <w:t>4、篮架为箱式配重箱：箱体前高度660mm，箱体后高度500mm。宽度1000mm,长度2000mm,钢板厚度2.5mm，箱内放置配重500KG。</w:t>
            </w:r>
          </w:p>
          <w:p>
            <w:pPr>
              <w:numPr>
                <w:ilvl w:val="0"/>
                <w:numId w:val="0"/>
              </w:numPr>
              <w:jc w:val="left"/>
              <w:rPr>
                <w:rFonts w:hint="eastAsia"/>
                <w:lang w:val="en-US" w:eastAsia="zh-CN"/>
              </w:rPr>
            </w:pPr>
            <w:r>
              <w:rPr>
                <w:rFonts w:hint="eastAsia"/>
                <w:lang w:val="en-US" w:eastAsia="zh-CN"/>
              </w:rPr>
              <w:t>5、篮架立柱采用150mm×150mm的矩形钢管，管壁厚度不低于3mm，篮架横臂采用150mm×100mm钢管，管壁厚度不低于3mm；</w:t>
            </w:r>
          </w:p>
          <w:p>
            <w:pPr>
              <w:numPr>
                <w:ilvl w:val="0"/>
                <w:numId w:val="0"/>
              </w:numPr>
              <w:jc w:val="left"/>
              <w:rPr>
                <w:rFonts w:hint="eastAsia"/>
                <w:lang w:val="en-US" w:eastAsia="zh-CN"/>
              </w:rPr>
            </w:pPr>
            <w:r>
              <w:rPr>
                <w:rFonts w:hint="eastAsia"/>
                <w:lang w:val="en-US" w:eastAsia="zh-CN"/>
              </w:rPr>
              <w:t>6、篮架前拉杆采用42×3mm优质钢管，后拉杆采用40×60×3mm矩形管。</w:t>
            </w:r>
          </w:p>
          <w:p>
            <w:pPr>
              <w:numPr>
                <w:ilvl w:val="0"/>
                <w:numId w:val="0"/>
              </w:numPr>
              <w:jc w:val="left"/>
              <w:rPr>
                <w:rFonts w:hint="eastAsia"/>
                <w:lang w:val="en-US" w:eastAsia="zh-CN"/>
              </w:rPr>
            </w:pPr>
            <w:r>
              <w:rPr>
                <w:rFonts w:hint="eastAsia"/>
                <w:lang w:val="en-US" w:eastAsia="zh-CN"/>
              </w:rPr>
              <w:t>7、配置弹性篮圈，篮圈采用直径20mm优质圆钢制成，并配有篮网。</w:t>
            </w:r>
          </w:p>
          <w:p>
            <w:pPr>
              <w:numPr>
                <w:ilvl w:val="0"/>
                <w:numId w:val="0"/>
              </w:numPr>
              <w:jc w:val="left"/>
              <w:rPr>
                <w:rFonts w:hint="default"/>
                <w:lang w:val="en-US" w:eastAsia="zh-CN"/>
              </w:rPr>
            </w:pPr>
            <w:r>
              <w:rPr>
                <w:rFonts w:hint="eastAsia"/>
                <w:lang w:val="en-US" w:eastAsia="zh-CN"/>
              </w:rPr>
              <w:t>8、篮架各部焊接要求严密牢固，不应有漏焊，虚焊，包渣，裂纹等缺陷。</w:t>
            </w:r>
          </w:p>
        </w:tc>
        <w:tc>
          <w:tcPr>
            <w:tcW w:w="83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2个</w:t>
            </w:r>
          </w:p>
        </w:tc>
        <w:tc>
          <w:tcPr>
            <w:tcW w:w="852"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12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移动式排羽球架</w:t>
            </w:r>
          </w:p>
        </w:tc>
        <w:tc>
          <w:tcPr>
            <w:tcW w:w="5029" w:type="dxa"/>
            <w:vAlign w:val="center"/>
          </w:tcPr>
          <w:p>
            <w:pPr>
              <w:numPr>
                <w:ilvl w:val="0"/>
                <w:numId w:val="0"/>
              </w:numPr>
              <w:jc w:val="left"/>
              <w:rPr>
                <w:rFonts w:hint="eastAsia"/>
                <w:lang w:val="en-US" w:eastAsia="zh-CN"/>
              </w:rPr>
            </w:pPr>
            <w:r>
              <w:rPr>
                <w:rFonts w:hint="eastAsia"/>
                <w:lang w:val="en-US" w:eastAsia="zh-CN"/>
              </w:rPr>
              <w:t>1、提供国家体育用品质量监督检验中心检验检测报告</w:t>
            </w:r>
          </w:p>
          <w:p>
            <w:pPr>
              <w:numPr>
                <w:ilvl w:val="0"/>
                <w:numId w:val="0"/>
              </w:numPr>
              <w:jc w:val="left"/>
              <w:rPr>
                <w:rFonts w:hint="eastAsia" w:ascii="仿宋_GB2312" w:hAnsi="仿宋_GB2312" w:eastAsia="仿宋_GB2312" w:cs="仿宋_GB2312"/>
                <w:sz w:val="24"/>
                <w:szCs w:val="24"/>
                <w:vertAlign w:val="baseline"/>
                <w:lang w:val="en-US" w:eastAsia="zh-CN"/>
              </w:rPr>
            </w:pPr>
            <w:r>
              <w:rPr>
                <w:rFonts w:hint="eastAsia"/>
                <w:lang w:val="en-US" w:eastAsia="zh-CN"/>
              </w:rPr>
              <w:t>2、排羽两用结构，柱体可升降，移动式</w:t>
            </w:r>
          </w:p>
          <w:p>
            <w:pPr>
              <w:numPr>
                <w:ilvl w:val="0"/>
                <w:numId w:val="0"/>
              </w:numPr>
              <w:jc w:val="left"/>
              <w:rPr>
                <w:rFonts w:hint="eastAsia" w:ascii="仿宋_GB2312" w:hAnsi="仿宋_GB2312" w:eastAsia="仿宋_GB2312" w:cs="仿宋_GB2312"/>
                <w:sz w:val="24"/>
                <w:szCs w:val="24"/>
                <w:vertAlign w:val="baseline"/>
                <w:lang w:val="en-US" w:eastAsia="zh-CN"/>
              </w:rPr>
            </w:pPr>
            <w:r>
              <w:rPr>
                <w:rFonts w:hint="eastAsia"/>
                <w:lang w:val="en-US" w:eastAsia="zh-CN"/>
              </w:rPr>
              <w:t>3、立柱管材尺寸不小于φ76mm*3.0mm</w:t>
            </w:r>
          </w:p>
        </w:tc>
        <w:tc>
          <w:tcPr>
            <w:tcW w:w="83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2个</w:t>
            </w:r>
          </w:p>
        </w:tc>
        <w:tc>
          <w:tcPr>
            <w:tcW w:w="852"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8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12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组装式围网</w:t>
            </w:r>
          </w:p>
        </w:tc>
        <w:tc>
          <w:tcPr>
            <w:tcW w:w="5029" w:type="dxa"/>
            <w:vAlign w:val="center"/>
          </w:tcPr>
          <w:p>
            <w:pPr>
              <w:jc w:val="left"/>
              <w:rPr>
                <w:rFonts w:hint="eastAsia"/>
                <w:lang w:val="en-US" w:eastAsia="zh-CN"/>
              </w:rPr>
            </w:pPr>
            <w:r>
              <w:rPr>
                <w:rFonts w:hint="eastAsia"/>
                <w:lang w:val="en-US" w:eastAsia="zh-CN"/>
              </w:rPr>
              <w:t>1、立柱:75*2.5；边框:48*2.0；勾花网:400#5*5；4米*3米双层边框整体浸塑；重:7公斤/平米</w:t>
            </w:r>
          </w:p>
          <w:p>
            <w:pPr>
              <w:jc w:val="left"/>
              <w:rPr>
                <w:rFonts w:hint="eastAsia"/>
                <w:lang w:val="en-US" w:eastAsia="zh-CN"/>
              </w:rPr>
            </w:pPr>
            <w:r>
              <w:rPr>
                <w:rFonts w:hint="eastAsia"/>
                <w:lang w:val="en-US" w:eastAsia="zh-CN"/>
              </w:rPr>
              <w:t>2、框架使用规格为48*t2的优质圆型管焊接而成。同时四周用φ8拉条把围网丝固定在里面，减少钩挂；</w:t>
            </w:r>
          </w:p>
          <w:p>
            <w:pPr>
              <w:jc w:val="left"/>
              <w:rPr>
                <w:rFonts w:hint="eastAsia"/>
                <w:lang w:val="en-US" w:eastAsia="zh-CN"/>
              </w:rPr>
            </w:pPr>
            <w:r>
              <w:rPr>
                <w:rFonts w:hint="eastAsia"/>
                <w:lang w:val="en-US" w:eastAsia="zh-CN"/>
              </w:rPr>
              <w:t>3、围网总高度为4000mm；</w:t>
            </w:r>
          </w:p>
          <w:p>
            <w:pPr>
              <w:jc w:val="left"/>
              <w:rPr>
                <w:rFonts w:hint="eastAsia"/>
                <w:lang w:val="en-US" w:eastAsia="zh-CN"/>
              </w:rPr>
            </w:pPr>
            <w:r>
              <w:rPr>
                <w:rFonts w:hint="eastAsia"/>
                <w:lang w:val="en-US" w:eastAsia="zh-CN"/>
              </w:rPr>
              <w:t>4、线材：采用高标准优质低碳镀锌铁丝。包塑勾花网规格：包塑后直径为φ4.0mm(±0.15mm)，包塑前丝径为φ3.0mm(±0.05mm)，网孔规格为50×50 mm(±3mm)，网包塑后颜色为墨绿色。</w:t>
            </w:r>
          </w:p>
          <w:p>
            <w:pPr>
              <w:jc w:val="left"/>
              <w:rPr>
                <w:rFonts w:hint="eastAsia"/>
                <w:lang w:val="en-US" w:eastAsia="zh-CN"/>
              </w:rPr>
            </w:pPr>
            <w:r>
              <w:rPr>
                <w:rFonts w:hint="eastAsia"/>
                <w:lang w:val="en-US" w:eastAsia="zh-CN"/>
              </w:rPr>
              <w:t>5、通</w:t>
            </w:r>
            <w:r>
              <w:rPr>
                <w:rFonts w:hint="default"/>
                <w:lang w:val="en-US" w:eastAsia="zh-CN"/>
              </w:rPr>
              <w:t>过NSCC认证</w:t>
            </w:r>
            <w:r>
              <w:rPr>
                <w:rFonts w:hint="eastAsia"/>
                <w:lang w:val="en-US" w:eastAsia="zh-CN"/>
              </w:rPr>
              <w:t>，并提供相关证明材料</w:t>
            </w:r>
          </w:p>
        </w:tc>
        <w:tc>
          <w:tcPr>
            <w:tcW w:w="83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420平方米</w:t>
            </w:r>
          </w:p>
        </w:tc>
        <w:tc>
          <w:tcPr>
            <w:tcW w:w="852"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8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12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单向照明系统</w:t>
            </w:r>
          </w:p>
        </w:tc>
        <w:tc>
          <w:tcPr>
            <w:tcW w:w="5029"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lang w:val="en-US" w:eastAsia="zh-CN"/>
              </w:rPr>
              <w:t>1、灯柱规格不小于φ100*3.0，采用预埋式或直埋式，深度不小于500MM，灯柱离地高度6米。</w:t>
            </w:r>
            <w:r>
              <w:rPr>
                <w:rFonts w:hint="eastAsia"/>
                <w:lang w:val="en-US" w:eastAsia="zh-CN"/>
              </w:rPr>
              <w:br w:type="textWrapping"/>
            </w:r>
            <w:r>
              <w:rPr>
                <w:rFonts w:hint="eastAsia"/>
                <w:lang w:val="en-US" w:eastAsia="zh-CN"/>
              </w:rPr>
              <w:t>2、灯柱为围网立柱的一部分，颜色要求为墨绿色。</w:t>
            </w:r>
            <w:r>
              <w:rPr>
                <w:rFonts w:hint="eastAsia"/>
                <w:lang w:val="en-US" w:eastAsia="zh-CN"/>
              </w:rPr>
              <w:br w:type="textWrapping"/>
            </w:r>
            <w:r>
              <w:rPr>
                <w:rFonts w:hint="eastAsia"/>
                <w:lang w:val="en-US" w:eastAsia="zh-CN"/>
              </w:rPr>
              <w:t>3、场地分布6组灯柱，根据运动场地合理布置位置，光源采用200W以上LED灯，每个灯柱分布2盏灯，共12盏。</w:t>
            </w:r>
          </w:p>
        </w:tc>
        <w:tc>
          <w:tcPr>
            <w:tcW w:w="83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6组</w:t>
            </w:r>
          </w:p>
        </w:tc>
        <w:tc>
          <w:tcPr>
            <w:tcW w:w="852" w:type="dxa"/>
            <w:vAlign w:val="center"/>
          </w:tcPr>
          <w:p>
            <w:pPr>
              <w:jc w:val="center"/>
              <w:rPr>
                <w:rFonts w:hint="eastAsia" w:ascii="仿宋_GB2312" w:hAnsi="仿宋_GB2312" w:eastAsia="仿宋_GB2312" w:cs="仿宋_GB2312"/>
                <w:sz w:val="24"/>
                <w:szCs w:val="24"/>
                <w:vertAlign w:val="baseline"/>
                <w:lang w:val="en-US" w:eastAsia="zh-CN"/>
              </w:rPr>
            </w:pPr>
          </w:p>
        </w:tc>
      </w:tr>
    </w:tbl>
    <w:p>
      <w:pPr>
        <w:jc w:val="left"/>
        <w:rPr>
          <w:rFonts w:hint="default"/>
          <w:lang w:val="en-US" w:eastAsia="zh-CN"/>
        </w:rPr>
      </w:pPr>
      <w:r>
        <w:rPr>
          <w:rFonts w:hint="eastAsia"/>
          <w:lang w:val="en-US" w:eastAsia="zh-CN"/>
        </w:rPr>
        <w:t>（备注：技术参数中提到的产品检测报告和相关认证证明材料需在询价文件中提供。）</w:t>
      </w:r>
    </w:p>
    <w:p>
      <w:pPr>
        <w:rPr>
          <w:rFonts w:hint="eastAsia"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97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rPr>
      <w:sz w:val="21"/>
    </w:rPr>
  </w:style>
  <w:style w:type="paragraph" w:styleId="3">
    <w:name w:val="Body Text Indent"/>
    <w:basedOn w:val="1"/>
    <w:next w:val="2"/>
    <w:qFormat/>
    <w:uiPriority w:val="0"/>
    <w:pPr>
      <w:ind w:firstLine="420"/>
    </w:pPr>
    <w:rPr>
      <w:kern w:val="1"/>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老朽</cp:lastModifiedBy>
  <dcterms:modified xsi:type="dcterms:W3CDTF">2021-08-04T03:48:09Z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6410226B5D21426AB7A4CB2115EB0CEF</vt:lpwstr>
  </property>
</Properties>
</file>